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5DF2" w14:textId="7A1E18EA" w:rsidR="009C4B9B" w:rsidRPr="00BC4DB7" w:rsidRDefault="009C4B9B" w:rsidP="003D5986">
      <w:pPr>
        <w:shd w:val="clear" w:color="auto" w:fill="FFFFFF"/>
        <w:tabs>
          <w:tab w:val="num" w:pos="1440"/>
        </w:tabs>
        <w:spacing w:after="200"/>
        <w:ind w:left="785" w:hanging="360"/>
        <w:contextualSpacing/>
        <w:jc w:val="center"/>
        <w:textAlignment w:val="baseline"/>
        <w:rPr>
          <w:b/>
          <w:bCs/>
          <w:sz w:val="32"/>
          <w:szCs w:val="32"/>
        </w:rPr>
      </w:pPr>
      <w:bookmarkStart w:id="0" w:name="_GoBack"/>
      <w:bookmarkEnd w:id="0"/>
      <w:r w:rsidRPr="00BC4DB7">
        <w:rPr>
          <w:b/>
          <w:bCs/>
          <w:sz w:val="32"/>
          <w:szCs w:val="32"/>
        </w:rPr>
        <w:t>CRPD webinar script</w:t>
      </w:r>
    </w:p>
    <w:p w14:paraId="2BFD4AD3" w14:textId="77777777" w:rsidR="009525F3" w:rsidRPr="00BC4DB7" w:rsidRDefault="00A317F7" w:rsidP="003D5986">
      <w:pPr>
        <w:pStyle w:val="NormalWeb"/>
        <w:shd w:val="clear" w:color="auto" w:fill="FFFFFF"/>
        <w:spacing w:before="0" w:beforeAutospacing="0" w:after="200" w:afterAutospacing="0"/>
        <w:contextualSpacing/>
        <w:textAlignment w:val="baseline"/>
        <w:rPr>
          <w:sz w:val="32"/>
          <w:szCs w:val="32"/>
        </w:rPr>
      </w:pPr>
      <w:r w:rsidRPr="00BC4DB7">
        <w:rPr>
          <w:sz w:val="32"/>
          <w:szCs w:val="32"/>
        </w:rPr>
        <w:t>My name is Taylor Hyatt. I’m the Policy Analyst &amp; Outreach Coordinator at Toujours Vivant-Not Dead Yet, and with me is the Director</w:t>
      </w:r>
      <w:r w:rsidR="005C4EDB" w:rsidRPr="00BC4DB7">
        <w:rPr>
          <w:sz w:val="32"/>
          <w:szCs w:val="32"/>
        </w:rPr>
        <w:t xml:space="preserve"> of TVNDY</w:t>
      </w:r>
      <w:r w:rsidRPr="00BC4DB7">
        <w:rPr>
          <w:sz w:val="32"/>
          <w:szCs w:val="32"/>
        </w:rPr>
        <w:t xml:space="preserve">, Amy Hasbrouck. </w:t>
      </w:r>
    </w:p>
    <w:p w14:paraId="51E3791A" w14:textId="77777777" w:rsidR="009525F3" w:rsidRPr="00BC4DB7" w:rsidRDefault="009525F3" w:rsidP="003D5986">
      <w:pPr>
        <w:pStyle w:val="NormalWeb"/>
        <w:shd w:val="clear" w:color="auto" w:fill="FFFFFF"/>
        <w:spacing w:before="0" w:beforeAutospacing="0" w:after="200" w:afterAutospacing="0"/>
        <w:contextualSpacing/>
        <w:textAlignment w:val="baseline"/>
        <w:rPr>
          <w:b/>
          <w:bCs/>
          <w:sz w:val="32"/>
          <w:szCs w:val="32"/>
        </w:rPr>
      </w:pPr>
    </w:p>
    <w:p w14:paraId="327B1931" w14:textId="69BF838C" w:rsidR="009525F3" w:rsidRPr="00BC4DB7" w:rsidRDefault="009525F3" w:rsidP="003D5986">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w:t>
      </w:r>
    </w:p>
    <w:p w14:paraId="73268300" w14:textId="77777777" w:rsidR="00BC4DB7" w:rsidRPr="00BC4DB7" w:rsidRDefault="00BC4DB7" w:rsidP="003D5986">
      <w:pPr>
        <w:pStyle w:val="NormalWeb"/>
        <w:shd w:val="clear" w:color="auto" w:fill="FFFFFF"/>
        <w:spacing w:before="0" w:beforeAutospacing="0" w:after="200" w:afterAutospacing="0"/>
        <w:contextualSpacing/>
        <w:textAlignment w:val="baseline"/>
        <w:rPr>
          <w:b/>
          <w:bCs/>
          <w:sz w:val="32"/>
          <w:szCs w:val="32"/>
        </w:rPr>
      </w:pPr>
    </w:p>
    <w:p w14:paraId="53A8E8A7" w14:textId="27D50705" w:rsidR="009C4B9B" w:rsidRPr="00BC4DB7" w:rsidRDefault="009C4B9B" w:rsidP="003D5986">
      <w:pPr>
        <w:pStyle w:val="NormalWeb"/>
        <w:shd w:val="clear" w:color="auto" w:fill="FFFFFF"/>
        <w:spacing w:before="0" w:beforeAutospacing="0" w:after="200" w:afterAutospacing="0"/>
        <w:contextualSpacing/>
        <w:textAlignment w:val="baseline"/>
        <w:rPr>
          <w:sz w:val="32"/>
          <w:szCs w:val="32"/>
        </w:rPr>
      </w:pPr>
      <w:r w:rsidRPr="00BC4DB7">
        <w:rPr>
          <w:sz w:val="32"/>
          <w:szCs w:val="32"/>
        </w:rPr>
        <w:t>TVNDY is a project of the Council of Canadians with Disabilities that focuses on how assisted suicide, euthanasia (AS/E) and other ending-of-life practices affect people with disabilities. </w:t>
      </w:r>
      <w:r w:rsidR="00752A48" w:rsidRPr="00BC4DB7">
        <w:rPr>
          <w:sz w:val="32"/>
          <w:szCs w:val="32"/>
        </w:rPr>
        <w:t>We affirm that:</w:t>
      </w:r>
    </w:p>
    <w:p w14:paraId="11F233D3" w14:textId="583473EE" w:rsidR="009C4B9B" w:rsidRPr="00BC4DB7" w:rsidRDefault="009C4B9B" w:rsidP="003D5986">
      <w:pPr>
        <w:pStyle w:val="NormalWeb"/>
        <w:numPr>
          <w:ilvl w:val="0"/>
          <w:numId w:val="3"/>
        </w:numPr>
        <w:shd w:val="clear" w:color="auto" w:fill="FFFFFF"/>
        <w:spacing w:before="0" w:beforeAutospacing="0" w:after="0" w:afterAutospacing="0"/>
        <w:contextualSpacing/>
        <w:textAlignment w:val="baseline"/>
        <w:rPr>
          <w:sz w:val="32"/>
          <w:szCs w:val="32"/>
        </w:rPr>
      </w:pPr>
      <w:r w:rsidRPr="00BC4DB7">
        <w:rPr>
          <w:sz w:val="32"/>
          <w:szCs w:val="32"/>
        </w:rPr>
        <w:t xml:space="preserve">Everyone who requests and receives </w:t>
      </w:r>
      <w:r w:rsidR="00752A48" w:rsidRPr="00BC4DB7">
        <w:rPr>
          <w:sz w:val="32"/>
          <w:szCs w:val="32"/>
        </w:rPr>
        <w:t>assisted suicide or euthanasia</w:t>
      </w:r>
      <w:r w:rsidRPr="00BC4DB7">
        <w:rPr>
          <w:sz w:val="32"/>
          <w:szCs w:val="32"/>
        </w:rPr>
        <w:t xml:space="preserve"> has a disability.</w:t>
      </w:r>
    </w:p>
    <w:p w14:paraId="13BAE160" w14:textId="77777777" w:rsidR="009C4B9B" w:rsidRPr="00BC4DB7" w:rsidRDefault="009C4B9B" w:rsidP="003D5986">
      <w:pPr>
        <w:pStyle w:val="NormalWeb"/>
        <w:numPr>
          <w:ilvl w:val="0"/>
          <w:numId w:val="3"/>
        </w:numPr>
        <w:shd w:val="clear" w:color="auto" w:fill="FFFFFF"/>
        <w:spacing w:before="0" w:beforeAutospacing="0" w:after="0" w:afterAutospacing="0"/>
        <w:contextualSpacing/>
        <w:textAlignment w:val="baseline"/>
        <w:rPr>
          <w:sz w:val="32"/>
          <w:szCs w:val="32"/>
        </w:rPr>
      </w:pPr>
      <w:r w:rsidRPr="00BC4DB7">
        <w:rPr>
          <w:sz w:val="32"/>
          <w:szCs w:val="32"/>
        </w:rPr>
        <w:t xml:space="preserve">The choice to die is not free </w:t>
      </w:r>
      <w:proofErr w:type="gramStart"/>
      <w:r w:rsidRPr="00BC4DB7">
        <w:rPr>
          <w:sz w:val="32"/>
          <w:szCs w:val="32"/>
        </w:rPr>
        <w:t>as long as</w:t>
      </w:r>
      <w:proofErr w:type="gramEnd"/>
      <w:r w:rsidRPr="00BC4DB7">
        <w:rPr>
          <w:sz w:val="32"/>
          <w:szCs w:val="32"/>
        </w:rPr>
        <w:t xml:space="preserve"> old, ill and disabled people don’t have a free choice in where and how they live.</w:t>
      </w:r>
    </w:p>
    <w:p w14:paraId="0364CA70" w14:textId="0E6030CD" w:rsidR="009C4B9B" w:rsidRPr="00BC4DB7" w:rsidRDefault="009C4B9B" w:rsidP="003D5986">
      <w:pPr>
        <w:pStyle w:val="NormalWeb"/>
        <w:numPr>
          <w:ilvl w:val="0"/>
          <w:numId w:val="3"/>
        </w:numPr>
        <w:shd w:val="clear" w:color="auto" w:fill="FFFFFF"/>
        <w:spacing w:before="0" w:beforeAutospacing="0" w:after="0" w:afterAutospacing="0"/>
        <w:contextualSpacing/>
        <w:textAlignment w:val="baseline"/>
        <w:rPr>
          <w:sz w:val="32"/>
          <w:szCs w:val="32"/>
        </w:rPr>
      </w:pPr>
      <w:r w:rsidRPr="00BC4DB7">
        <w:rPr>
          <w:sz w:val="32"/>
          <w:szCs w:val="32"/>
        </w:rPr>
        <w:t>The belief that death is preferable to disability is a major motivating factor behind the movement</w:t>
      </w:r>
      <w:r w:rsidR="00752A48" w:rsidRPr="00BC4DB7">
        <w:rPr>
          <w:sz w:val="32"/>
          <w:szCs w:val="32"/>
        </w:rPr>
        <w:t xml:space="preserve"> in support of assisted suicide &amp; euthanasia</w:t>
      </w:r>
      <w:r w:rsidRPr="00BC4DB7">
        <w:rPr>
          <w:sz w:val="32"/>
          <w:szCs w:val="32"/>
        </w:rPr>
        <w:t>.</w:t>
      </w:r>
    </w:p>
    <w:p w14:paraId="4CB6E4C2" w14:textId="77777777" w:rsidR="009C4B9B" w:rsidRPr="00BC4DB7" w:rsidRDefault="009C4B9B" w:rsidP="003D5986">
      <w:pPr>
        <w:pStyle w:val="NormalWeb"/>
        <w:numPr>
          <w:ilvl w:val="0"/>
          <w:numId w:val="3"/>
        </w:numPr>
        <w:shd w:val="clear" w:color="auto" w:fill="FFFFFF"/>
        <w:spacing w:before="0" w:beforeAutospacing="0" w:after="0" w:afterAutospacing="0"/>
        <w:contextualSpacing/>
        <w:textAlignment w:val="baseline"/>
        <w:rPr>
          <w:sz w:val="32"/>
          <w:szCs w:val="32"/>
        </w:rPr>
      </w:pPr>
      <w:r w:rsidRPr="00BC4DB7">
        <w:rPr>
          <w:sz w:val="32"/>
          <w:szCs w:val="32"/>
        </w:rPr>
        <w:t xml:space="preserve">Suicide prevention services should be offered equally, to all people, </w:t>
      </w:r>
      <w:proofErr w:type="gramStart"/>
      <w:r w:rsidRPr="00BC4DB7">
        <w:rPr>
          <w:sz w:val="32"/>
          <w:szCs w:val="32"/>
        </w:rPr>
        <w:t>whether or not</w:t>
      </w:r>
      <w:proofErr w:type="gramEnd"/>
      <w:r w:rsidRPr="00BC4DB7">
        <w:rPr>
          <w:sz w:val="32"/>
          <w:szCs w:val="32"/>
        </w:rPr>
        <w:t xml:space="preserve"> they have a disability.</w:t>
      </w:r>
    </w:p>
    <w:p w14:paraId="1F72B78D" w14:textId="2EE93244" w:rsidR="009C4B9B" w:rsidRPr="00BC4DB7" w:rsidRDefault="009C4B9B" w:rsidP="003D5986">
      <w:pPr>
        <w:pStyle w:val="NormalWeb"/>
        <w:numPr>
          <w:ilvl w:val="0"/>
          <w:numId w:val="3"/>
        </w:numPr>
        <w:shd w:val="clear" w:color="auto" w:fill="FFFFFF"/>
        <w:spacing w:before="0" w:beforeAutospacing="0" w:after="200" w:afterAutospacing="0"/>
        <w:contextualSpacing/>
        <w:textAlignment w:val="baseline"/>
        <w:rPr>
          <w:sz w:val="32"/>
          <w:szCs w:val="32"/>
        </w:rPr>
      </w:pPr>
      <w:r w:rsidRPr="00BC4DB7">
        <w:rPr>
          <w:sz w:val="32"/>
          <w:szCs w:val="32"/>
        </w:rPr>
        <w:t>Eligibility criteria and safeguards don’t prevent the deaths of ineligible people and other abuses. </w:t>
      </w:r>
    </w:p>
    <w:p w14:paraId="433A2961" w14:textId="77777777" w:rsidR="003D5986" w:rsidRPr="00BC4DB7" w:rsidRDefault="003D5986" w:rsidP="003D5986">
      <w:pPr>
        <w:pStyle w:val="NormalWeb"/>
        <w:shd w:val="clear" w:color="auto" w:fill="FFFFFF"/>
        <w:spacing w:before="0" w:beforeAutospacing="0" w:after="200" w:afterAutospacing="0"/>
        <w:ind w:left="720"/>
        <w:contextualSpacing/>
        <w:textAlignment w:val="baseline"/>
        <w:rPr>
          <w:sz w:val="32"/>
          <w:szCs w:val="32"/>
        </w:rPr>
      </w:pPr>
    </w:p>
    <w:p w14:paraId="5F7D2591" w14:textId="01D3CF74" w:rsidR="00964F3A" w:rsidRPr="00BC4DB7" w:rsidRDefault="00964F3A" w:rsidP="003D5986">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00A317F7" w:rsidRPr="00BC4DB7">
        <w:rPr>
          <w:b/>
          <w:bCs/>
          <w:sz w:val="32"/>
          <w:szCs w:val="32"/>
        </w:rPr>
        <w:t xml:space="preserve"> </w:t>
      </w:r>
      <w:r w:rsidR="009525F3" w:rsidRPr="00BC4DB7">
        <w:rPr>
          <w:b/>
          <w:bCs/>
          <w:sz w:val="32"/>
          <w:szCs w:val="32"/>
        </w:rPr>
        <w:t>3</w:t>
      </w:r>
    </w:p>
    <w:p w14:paraId="6D99E77C" w14:textId="77777777" w:rsidR="00BC4DB7" w:rsidRPr="00BC4DB7" w:rsidRDefault="00BC4DB7" w:rsidP="003D5986">
      <w:pPr>
        <w:pStyle w:val="NormalWeb"/>
        <w:shd w:val="clear" w:color="auto" w:fill="FFFFFF"/>
        <w:spacing w:before="0" w:beforeAutospacing="0" w:after="200" w:afterAutospacing="0"/>
        <w:contextualSpacing/>
        <w:textAlignment w:val="baseline"/>
        <w:rPr>
          <w:sz w:val="32"/>
          <w:szCs w:val="32"/>
        </w:rPr>
      </w:pPr>
    </w:p>
    <w:p w14:paraId="3B8179A8" w14:textId="277C7B7B" w:rsidR="009C4B9B" w:rsidRPr="00BC4DB7" w:rsidRDefault="00752A48" w:rsidP="003D5986">
      <w:pPr>
        <w:pStyle w:val="NormalWeb"/>
        <w:shd w:val="clear" w:color="auto" w:fill="FFFFFF"/>
        <w:spacing w:before="0" w:beforeAutospacing="0" w:after="200" w:afterAutospacing="0"/>
        <w:contextualSpacing/>
        <w:textAlignment w:val="baseline"/>
        <w:rPr>
          <w:sz w:val="32"/>
          <w:szCs w:val="32"/>
        </w:rPr>
      </w:pPr>
      <w:r w:rsidRPr="00BC4DB7">
        <w:rPr>
          <w:sz w:val="32"/>
          <w:szCs w:val="32"/>
        </w:rPr>
        <w:t xml:space="preserve">The topic for today is </w:t>
      </w:r>
      <w:r w:rsidR="009C4B9B" w:rsidRPr="00BC4DB7">
        <w:rPr>
          <w:sz w:val="32"/>
          <w:szCs w:val="32"/>
        </w:rPr>
        <w:t xml:space="preserve">the </w:t>
      </w:r>
      <w:r w:rsidR="00DB61F5" w:rsidRPr="00BC4DB7">
        <w:rPr>
          <w:sz w:val="32"/>
          <w:szCs w:val="32"/>
        </w:rPr>
        <w:t xml:space="preserve">connection between the </w:t>
      </w:r>
      <w:r w:rsidR="009C4B9B" w:rsidRPr="00BC4DB7">
        <w:rPr>
          <w:sz w:val="32"/>
          <w:szCs w:val="32"/>
        </w:rPr>
        <w:t>Convention on the Rights of Persons with Disabilities and ending of life issues.</w:t>
      </w:r>
      <w:r w:rsidRPr="00BC4DB7">
        <w:rPr>
          <w:sz w:val="32"/>
          <w:szCs w:val="32"/>
        </w:rPr>
        <w:t xml:space="preserve"> </w:t>
      </w:r>
      <w:r w:rsidR="009C4B9B" w:rsidRPr="00BC4DB7">
        <w:rPr>
          <w:sz w:val="32"/>
          <w:szCs w:val="32"/>
        </w:rPr>
        <w:t xml:space="preserve">This year marks not only the </w:t>
      </w:r>
      <w:r w:rsidR="009C4B9B" w:rsidRPr="00BC4DB7">
        <w:rPr>
          <w:b/>
          <w:bCs/>
          <w:sz w:val="32"/>
          <w:szCs w:val="32"/>
        </w:rPr>
        <w:t>tenth anniversary</w:t>
      </w:r>
      <w:r w:rsidR="009C4B9B" w:rsidRPr="00BC4DB7">
        <w:rPr>
          <w:sz w:val="32"/>
          <w:szCs w:val="32"/>
        </w:rPr>
        <w:t xml:space="preserve"> of Canada’s ratification of the CRPD, but also </w:t>
      </w:r>
      <w:r w:rsidR="009C4B9B" w:rsidRPr="00BC4DB7">
        <w:rPr>
          <w:b/>
          <w:bCs/>
          <w:sz w:val="32"/>
          <w:szCs w:val="32"/>
        </w:rPr>
        <w:t>five years</w:t>
      </w:r>
      <w:r w:rsidR="009C4B9B" w:rsidRPr="00BC4DB7">
        <w:rPr>
          <w:sz w:val="32"/>
          <w:szCs w:val="32"/>
        </w:rPr>
        <w:t xml:space="preserve"> since the Supreme Court ruled in the </w:t>
      </w:r>
      <w:hyperlink r:id="rId6" w:history="1">
        <w:r w:rsidR="009C4B9B" w:rsidRPr="00BC4DB7">
          <w:rPr>
            <w:rStyle w:val="Hyperlink"/>
            <w:i/>
            <w:iCs/>
            <w:sz w:val="32"/>
            <w:szCs w:val="32"/>
          </w:rPr>
          <w:t>Carter</w:t>
        </w:r>
      </w:hyperlink>
      <w:r w:rsidR="009C4B9B" w:rsidRPr="00BC4DB7">
        <w:rPr>
          <w:sz w:val="32"/>
          <w:szCs w:val="32"/>
        </w:rPr>
        <w:t xml:space="preserve"> case that the prohibition on physician assisted dying violated the </w:t>
      </w:r>
      <w:r w:rsidRPr="00BC4DB7">
        <w:rPr>
          <w:sz w:val="32"/>
          <w:szCs w:val="32"/>
        </w:rPr>
        <w:t>C</w:t>
      </w:r>
      <w:r w:rsidR="009C4B9B" w:rsidRPr="00BC4DB7">
        <w:rPr>
          <w:sz w:val="32"/>
          <w:szCs w:val="32"/>
        </w:rPr>
        <w:t xml:space="preserve">harter of </w:t>
      </w:r>
      <w:r w:rsidRPr="00BC4DB7">
        <w:rPr>
          <w:sz w:val="32"/>
          <w:szCs w:val="32"/>
        </w:rPr>
        <w:t>R</w:t>
      </w:r>
      <w:r w:rsidR="009C4B9B" w:rsidRPr="00BC4DB7">
        <w:rPr>
          <w:sz w:val="32"/>
          <w:szCs w:val="32"/>
        </w:rPr>
        <w:t xml:space="preserve">ights and </w:t>
      </w:r>
      <w:r w:rsidRPr="00BC4DB7">
        <w:rPr>
          <w:sz w:val="32"/>
          <w:szCs w:val="32"/>
        </w:rPr>
        <w:t>F</w:t>
      </w:r>
      <w:r w:rsidR="009C4B9B" w:rsidRPr="00BC4DB7">
        <w:rPr>
          <w:sz w:val="32"/>
          <w:szCs w:val="32"/>
        </w:rPr>
        <w:t>reedoms</w:t>
      </w:r>
      <w:r w:rsidRPr="00BC4DB7">
        <w:rPr>
          <w:sz w:val="32"/>
          <w:szCs w:val="32"/>
        </w:rPr>
        <w:t>.</w:t>
      </w:r>
      <w:r w:rsidR="003D5986" w:rsidRPr="00BC4DB7">
        <w:rPr>
          <w:sz w:val="32"/>
          <w:szCs w:val="32"/>
        </w:rPr>
        <w:t xml:space="preserve"> </w:t>
      </w:r>
      <w:r w:rsidRPr="00BC4DB7">
        <w:rPr>
          <w:sz w:val="32"/>
          <w:szCs w:val="32"/>
        </w:rPr>
        <w:t xml:space="preserve">Our presentation will </w:t>
      </w:r>
      <w:r w:rsidR="009C4B9B" w:rsidRPr="00BC4DB7">
        <w:rPr>
          <w:sz w:val="32"/>
          <w:szCs w:val="32"/>
        </w:rPr>
        <w:t>focus on: </w:t>
      </w:r>
    </w:p>
    <w:p w14:paraId="6DC550A0" w14:textId="77777777" w:rsidR="003D5986" w:rsidRPr="00BC4DB7" w:rsidRDefault="00752A48" w:rsidP="003D5986">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rPr>
      </w:pPr>
      <w:r w:rsidRPr="00BC4DB7">
        <w:rPr>
          <w:sz w:val="32"/>
          <w:szCs w:val="32"/>
        </w:rPr>
        <w:t xml:space="preserve">Sections of the CRPD that relate to life-ending </w:t>
      </w:r>
      <w:proofErr w:type="gramStart"/>
      <w:r w:rsidRPr="00BC4DB7">
        <w:rPr>
          <w:sz w:val="32"/>
          <w:szCs w:val="32"/>
        </w:rPr>
        <w:t>issues;</w:t>
      </w:r>
      <w:proofErr w:type="gramEnd"/>
    </w:p>
    <w:p w14:paraId="3120CB08" w14:textId="77777777" w:rsidR="003D5986" w:rsidRPr="00BC4DB7" w:rsidRDefault="00752A48" w:rsidP="003D5986">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rPr>
      </w:pPr>
      <w:r w:rsidRPr="00BC4DB7">
        <w:rPr>
          <w:sz w:val="32"/>
          <w:szCs w:val="32"/>
        </w:rPr>
        <w:t>H</w:t>
      </w:r>
      <w:r w:rsidR="009C4B9B" w:rsidRPr="00BC4DB7">
        <w:rPr>
          <w:sz w:val="32"/>
          <w:szCs w:val="32"/>
        </w:rPr>
        <w:t xml:space="preserve">ow the CRPD can be used to defend against abuses </w:t>
      </w:r>
      <w:r w:rsidRPr="00BC4DB7">
        <w:rPr>
          <w:sz w:val="32"/>
          <w:szCs w:val="32"/>
        </w:rPr>
        <w:t>of</w:t>
      </w:r>
      <w:r w:rsidR="009C4B9B" w:rsidRPr="00BC4DB7">
        <w:rPr>
          <w:sz w:val="32"/>
          <w:szCs w:val="32"/>
        </w:rPr>
        <w:t xml:space="preserve"> life-ending </w:t>
      </w:r>
      <w:proofErr w:type="gramStart"/>
      <w:r w:rsidR="009C4B9B" w:rsidRPr="00BC4DB7">
        <w:rPr>
          <w:sz w:val="32"/>
          <w:szCs w:val="32"/>
        </w:rPr>
        <w:t>practices;</w:t>
      </w:r>
      <w:proofErr w:type="gramEnd"/>
    </w:p>
    <w:p w14:paraId="5BC665AF" w14:textId="77777777" w:rsidR="003D5986" w:rsidRPr="00BC4DB7" w:rsidRDefault="009C4B9B" w:rsidP="003D5986">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rPr>
      </w:pPr>
      <w:r w:rsidRPr="00BC4DB7">
        <w:rPr>
          <w:sz w:val="32"/>
          <w:szCs w:val="32"/>
        </w:rPr>
        <w:lastRenderedPageBreak/>
        <w:t xml:space="preserve">Other </w:t>
      </w:r>
      <w:r w:rsidR="00400482" w:rsidRPr="00BC4DB7">
        <w:rPr>
          <w:sz w:val="32"/>
          <w:szCs w:val="32"/>
        </w:rPr>
        <w:t>i</w:t>
      </w:r>
      <w:r w:rsidRPr="00BC4DB7">
        <w:rPr>
          <w:sz w:val="32"/>
          <w:szCs w:val="32"/>
        </w:rPr>
        <w:t xml:space="preserve">nternational treaties that touch on </w:t>
      </w:r>
      <w:r w:rsidR="00400482" w:rsidRPr="00BC4DB7">
        <w:rPr>
          <w:sz w:val="32"/>
          <w:szCs w:val="32"/>
        </w:rPr>
        <w:t xml:space="preserve">life-ending measures </w:t>
      </w:r>
      <w:r w:rsidRPr="00BC4DB7">
        <w:rPr>
          <w:sz w:val="32"/>
          <w:szCs w:val="32"/>
        </w:rPr>
        <w:t xml:space="preserve">and related </w:t>
      </w:r>
      <w:proofErr w:type="gramStart"/>
      <w:r w:rsidRPr="00BC4DB7">
        <w:rPr>
          <w:sz w:val="32"/>
          <w:szCs w:val="32"/>
        </w:rPr>
        <w:t>issues;</w:t>
      </w:r>
      <w:proofErr w:type="gramEnd"/>
    </w:p>
    <w:p w14:paraId="376EF81C" w14:textId="77777777" w:rsidR="003D5986" w:rsidRPr="00BC4DB7" w:rsidRDefault="00400482" w:rsidP="003D5986">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rPr>
      </w:pPr>
      <w:r w:rsidRPr="00BC4DB7">
        <w:rPr>
          <w:sz w:val="32"/>
          <w:szCs w:val="32"/>
        </w:rPr>
        <w:t xml:space="preserve">We’ll examine language related to assisted suicide in </w:t>
      </w:r>
      <w:r w:rsidR="009C4B9B" w:rsidRPr="00BC4DB7">
        <w:rPr>
          <w:sz w:val="32"/>
          <w:szCs w:val="32"/>
        </w:rPr>
        <w:t>General Comment No. 36</w:t>
      </w:r>
      <w:r w:rsidRPr="00BC4DB7">
        <w:rPr>
          <w:sz w:val="32"/>
          <w:szCs w:val="32"/>
        </w:rPr>
        <w:t xml:space="preserve"> on Article 6 of the International Covenant on Civil and Political Rights, the right to life</w:t>
      </w:r>
    </w:p>
    <w:p w14:paraId="102E0906" w14:textId="2229C4C8" w:rsidR="009C4B9B" w:rsidRPr="00BC4DB7" w:rsidRDefault="00400482" w:rsidP="003D5986">
      <w:pPr>
        <w:pStyle w:val="NormalWeb"/>
        <w:numPr>
          <w:ilvl w:val="0"/>
          <w:numId w:val="1"/>
        </w:numPr>
        <w:shd w:val="clear" w:color="auto" w:fill="FFFFFF"/>
        <w:tabs>
          <w:tab w:val="clear" w:pos="720"/>
          <w:tab w:val="num" w:pos="1134"/>
        </w:tabs>
        <w:spacing w:before="0" w:beforeAutospacing="0" w:after="0" w:afterAutospacing="0"/>
        <w:ind w:left="567"/>
        <w:contextualSpacing/>
        <w:textAlignment w:val="baseline"/>
        <w:rPr>
          <w:sz w:val="32"/>
          <w:szCs w:val="32"/>
        </w:rPr>
      </w:pPr>
      <w:r w:rsidRPr="00BC4DB7">
        <w:rPr>
          <w:sz w:val="32"/>
          <w:szCs w:val="32"/>
        </w:rPr>
        <w:t>And finally, we’ll look at another related right – to p</w:t>
      </w:r>
      <w:r w:rsidR="009C4B9B" w:rsidRPr="00BC4DB7">
        <w:rPr>
          <w:sz w:val="32"/>
          <w:szCs w:val="32"/>
        </w:rPr>
        <w:t>alliative care.</w:t>
      </w:r>
    </w:p>
    <w:p w14:paraId="74A8D24D" w14:textId="77777777" w:rsidR="003D5986" w:rsidRPr="00BC4DB7" w:rsidRDefault="003D5986" w:rsidP="003D5986">
      <w:pPr>
        <w:pStyle w:val="NormalWeb"/>
        <w:shd w:val="clear" w:color="auto" w:fill="FFFFFF"/>
        <w:spacing w:after="0"/>
        <w:contextualSpacing/>
        <w:textAlignment w:val="baseline"/>
        <w:rPr>
          <w:sz w:val="32"/>
          <w:szCs w:val="32"/>
        </w:rPr>
      </w:pPr>
    </w:p>
    <w:p w14:paraId="511CE09A" w14:textId="5F3AE795" w:rsidR="009C4B9B" w:rsidRPr="00BC4DB7" w:rsidRDefault="00400482" w:rsidP="003D5986">
      <w:pPr>
        <w:pStyle w:val="NormalWeb"/>
        <w:shd w:val="clear" w:color="auto" w:fill="FFFFFF"/>
        <w:spacing w:before="0" w:beforeAutospacing="0" w:after="200" w:afterAutospacing="0"/>
        <w:contextualSpacing/>
        <w:textAlignment w:val="baseline"/>
        <w:rPr>
          <w:sz w:val="32"/>
          <w:szCs w:val="32"/>
        </w:rPr>
      </w:pPr>
      <w:r w:rsidRPr="00BC4DB7">
        <w:rPr>
          <w:sz w:val="32"/>
          <w:szCs w:val="32"/>
        </w:rPr>
        <w:t xml:space="preserve">First, let’s </w:t>
      </w:r>
      <w:proofErr w:type="gramStart"/>
      <w:r w:rsidRPr="00BC4DB7">
        <w:rPr>
          <w:sz w:val="32"/>
          <w:szCs w:val="32"/>
        </w:rPr>
        <w:t>take a look</w:t>
      </w:r>
      <w:proofErr w:type="gramEnd"/>
      <w:r w:rsidRPr="00BC4DB7">
        <w:rPr>
          <w:sz w:val="32"/>
          <w:szCs w:val="32"/>
        </w:rPr>
        <w:t xml:space="preserve"> at a</w:t>
      </w:r>
      <w:r w:rsidR="009C4B9B" w:rsidRPr="00BC4DB7">
        <w:rPr>
          <w:sz w:val="32"/>
          <w:szCs w:val="32"/>
        </w:rPr>
        <w:t xml:space="preserve">rticles of the </w:t>
      </w:r>
      <w:hyperlink r:id="rId7" w:history="1">
        <w:r w:rsidR="009C4B9B" w:rsidRPr="00BC4DB7">
          <w:rPr>
            <w:rStyle w:val="Hyperlink"/>
            <w:sz w:val="32"/>
            <w:szCs w:val="32"/>
          </w:rPr>
          <w:t>CRPD</w:t>
        </w:r>
      </w:hyperlink>
      <w:r w:rsidR="009C4B9B" w:rsidRPr="00BC4DB7">
        <w:rPr>
          <w:sz w:val="32"/>
          <w:szCs w:val="32"/>
        </w:rPr>
        <w:t xml:space="preserve"> that relate to </w:t>
      </w:r>
      <w:r w:rsidRPr="00BC4DB7">
        <w:rPr>
          <w:sz w:val="32"/>
          <w:szCs w:val="32"/>
        </w:rPr>
        <w:t>euthanasia and assisted suicide</w:t>
      </w:r>
      <w:r w:rsidR="00D76C48" w:rsidRPr="00BC4DB7">
        <w:rPr>
          <w:sz w:val="32"/>
          <w:szCs w:val="32"/>
        </w:rPr>
        <w:t xml:space="preserve">. </w:t>
      </w:r>
      <w:r w:rsidR="00DB61F5" w:rsidRPr="00BC4DB7">
        <w:rPr>
          <w:sz w:val="32"/>
          <w:szCs w:val="32"/>
        </w:rPr>
        <w:t xml:space="preserve">Everyone who expresses an interest in life-ending measures is </w:t>
      </w:r>
      <w:r w:rsidR="00B52E33" w:rsidRPr="00BC4DB7">
        <w:rPr>
          <w:sz w:val="32"/>
          <w:szCs w:val="32"/>
        </w:rPr>
        <w:t xml:space="preserve">missing necessary supports in at least one of these areas. </w:t>
      </w:r>
      <w:r w:rsidR="00D76C48" w:rsidRPr="00BC4DB7">
        <w:rPr>
          <w:sz w:val="32"/>
          <w:szCs w:val="32"/>
        </w:rPr>
        <w:t xml:space="preserve">Note that I’m </w:t>
      </w:r>
      <w:r w:rsidR="00486E4F" w:rsidRPr="00BC4DB7">
        <w:rPr>
          <w:sz w:val="32"/>
          <w:szCs w:val="32"/>
        </w:rPr>
        <w:t>going to start</w:t>
      </w:r>
      <w:r w:rsidR="00D76C48" w:rsidRPr="00BC4DB7">
        <w:rPr>
          <w:sz w:val="32"/>
          <w:szCs w:val="32"/>
        </w:rPr>
        <w:t xml:space="preserve"> </w:t>
      </w:r>
      <w:r w:rsidR="001D563A" w:rsidRPr="00BC4DB7">
        <w:rPr>
          <w:sz w:val="32"/>
          <w:szCs w:val="32"/>
        </w:rPr>
        <w:t xml:space="preserve">in </w:t>
      </w:r>
      <w:r w:rsidR="00D76C48" w:rsidRPr="00BC4DB7">
        <w:rPr>
          <w:sz w:val="32"/>
          <w:szCs w:val="32"/>
        </w:rPr>
        <w:t>numerical order</w:t>
      </w:r>
      <w:r w:rsidR="00486E4F" w:rsidRPr="00BC4DB7">
        <w:rPr>
          <w:sz w:val="32"/>
          <w:szCs w:val="32"/>
        </w:rPr>
        <w:t>, and then switch to a group of articles related by their application</w:t>
      </w:r>
      <w:r w:rsidR="009C4B9B" w:rsidRPr="00BC4DB7">
        <w:rPr>
          <w:sz w:val="32"/>
          <w:szCs w:val="32"/>
        </w:rPr>
        <w:t>:</w:t>
      </w:r>
    </w:p>
    <w:p w14:paraId="588F4D11" w14:textId="77777777" w:rsidR="003F6DA9" w:rsidRPr="00BC4DB7" w:rsidRDefault="003F6DA9" w:rsidP="003F6DA9">
      <w:pPr>
        <w:pStyle w:val="NormalWeb"/>
        <w:shd w:val="clear" w:color="auto" w:fill="FFFFFF"/>
        <w:spacing w:before="0" w:beforeAutospacing="0" w:after="200" w:afterAutospacing="0"/>
        <w:contextualSpacing/>
        <w:textAlignment w:val="baseline"/>
        <w:rPr>
          <w:sz w:val="32"/>
          <w:szCs w:val="32"/>
        </w:rPr>
      </w:pPr>
    </w:p>
    <w:p w14:paraId="555A47D9" w14:textId="77777777" w:rsidR="009525F3" w:rsidRPr="00BC4DB7" w:rsidRDefault="009525F3" w:rsidP="009525F3">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4</w:t>
      </w:r>
    </w:p>
    <w:p w14:paraId="2B934E7C" w14:textId="77777777" w:rsidR="00BC4DB7" w:rsidRPr="00BC4DB7" w:rsidRDefault="00BC4DB7" w:rsidP="003F6DA9">
      <w:pPr>
        <w:pStyle w:val="NormalWeb"/>
        <w:shd w:val="clear" w:color="auto" w:fill="FFFFFF"/>
        <w:spacing w:before="0" w:beforeAutospacing="0" w:after="200" w:afterAutospacing="0"/>
        <w:contextualSpacing/>
        <w:textAlignment w:val="baseline"/>
        <w:rPr>
          <w:sz w:val="32"/>
          <w:szCs w:val="32"/>
        </w:rPr>
      </w:pPr>
    </w:p>
    <w:p w14:paraId="5CAF1B18" w14:textId="44527D07" w:rsidR="003D5986" w:rsidRPr="00BC4DB7" w:rsidRDefault="00D76C48" w:rsidP="003F6DA9">
      <w:pPr>
        <w:pStyle w:val="NormalWeb"/>
        <w:shd w:val="clear" w:color="auto" w:fill="FFFFFF"/>
        <w:spacing w:before="0" w:beforeAutospacing="0" w:after="200" w:afterAutospacing="0"/>
        <w:contextualSpacing/>
        <w:textAlignment w:val="baseline"/>
        <w:rPr>
          <w:sz w:val="32"/>
          <w:szCs w:val="32"/>
        </w:rPr>
      </w:pPr>
      <w:r w:rsidRPr="00BC4DB7">
        <w:rPr>
          <w:sz w:val="32"/>
          <w:szCs w:val="32"/>
        </w:rPr>
        <w:t>The first one is probably the most obvious.</w:t>
      </w:r>
      <w:r w:rsidRPr="00BC4DB7">
        <w:rPr>
          <w:b/>
          <w:bCs/>
          <w:sz w:val="32"/>
          <w:szCs w:val="32"/>
        </w:rPr>
        <w:t xml:space="preserve"> </w:t>
      </w:r>
      <w:r w:rsidR="009C4B9B" w:rsidRPr="00BC4DB7">
        <w:rPr>
          <w:b/>
          <w:bCs/>
          <w:sz w:val="32"/>
          <w:szCs w:val="32"/>
        </w:rPr>
        <w:t xml:space="preserve">Article 10 </w:t>
      </w:r>
      <w:r w:rsidR="00673CCD" w:rsidRPr="00BC4DB7">
        <w:rPr>
          <w:sz w:val="32"/>
          <w:szCs w:val="32"/>
        </w:rPr>
        <w:t xml:space="preserve">on the </w:t>
      </w:r>
      <w:r w:rsidR="00673CCD" w:rsidRPr="00BC4DB7">
        <w:rPr>
          <w:b/>
          <w:bCs/>
          <w:sz w:val="32"/>
          <w:szCs w:val="32"/>
        </w:rPr>
        <w:t>r</w:t>
      </w:r>
      <w:r w:rsidR="009C4B9B" w:rsidRPr="00BC4DB7">
        <w:rPr>
          <w:b/>
          <w:bCs/>
          <w:sz w:val="32"/>
          <w:szCs w:val="32"/>
        </w:rPr>
        <w:t>ight to life</w:t>
      </w:r>
      <w:r w:rsidR="00673CCD" w:rsidRPr="00BC4DB7">
        <w:rPr>
          <w:b/>
          <w:bCs/>
          <w:sz w:val="32"/>
          <w:szCs w:val="32"/>
        </w:rPr>
        <w:t xml:space="preserve"> </w:t>
      </w:r>
      <w:r w:rsidR="00673CCD" w:rsidRPr="00BC4DB7">
        <w:rPr>
          <w:sz w:val="32"/>
          <w:szCs w:val="32"/>
        </w:rPr>
        <w:t xml:space="preserve">reads, in part, </w:t>
      </w:r>
      <w:r w:rsidR="009C4B9B" w:rsidRPr="00BC4DB7">
        <w:rPr>
          <w:sz w:val="32"/>
          <w:szCs w:val="32"/>
        </w:rPr>
        <w:t>“States Parties reaffirm that every human being has the inherent right to life</w:t>
      </w:r>
      <w:r w:rsidR="00673CCD" w:rsidRPr="00BC4DB7">
        <w:rPr>
          <w:sz w:val="32"/>
          <w:szCs w:val="32"/>
        </w:rPr>
        <w:t>…a</w:t>
      </w:r>
      <w:r w:rsidR="009C4B9B" w:rsidRPr="00BC4DB7">
        <w:rPr>
          <w:sz w:val="32"/>
          <w:szCs w:val="32"/>
        </w:rPr>
        <w:t xml:space="preserve">nd shall take </w:t>
      </w:r>
      <w:r w:rsidR="009C4B9B" w:rsidRPr="00BC4DB7">
        <w:rPr>
          <w:b/>
          <w:bCs/>
          <w:sz w:val="32"/>
          <w:szCs w:val="32"/>
        </w:rPr>
        <w:t>all necessary measures</w:t>
      </w:r>
      <w:r w:rsidR="009C4B9B" w:rsidRPr="00BC4DB7">
        <w:rPr>
          <w:sz w:val="32"/>
          <w:szCs w:val="32"/>
        </w:rPr>
        <w:t xml:space="preserve"> to ensure its effective enjoyment by persons with disabilities on an equal basis with others.”</w:t>
      </w:r>
    </w:p>
    <w:p w14:paraId="68E24A21" w14:textId="77777777" w:rsidR="00B52E33" w:rsidRPr="00BC4DB7" w:rsidRDefault="00B52E33" w:rsidP="003F6DA9">
      <w:pPr>
        <w:pStyle w:val="NormalWeb"/>
        <w:shd w:val="clear" w:color="auto" w:fill="FFFFFF"/>
        <w:spacing w:before="0" w:beforeAutospacing="0" w:after="200" w:afterAutospacing="0"/>
        <w:contextualSpacing/>
        <w:textAlignment w:val="baseline"/>
        <w:rPr>
          <w:sz w:val="32"/>
          <w:szCs w:val="32"/>
        </w:rPr>
      </w:pPr>
    </w:p>
    <w:p w14:paraId="0250452B" w14:textId="03834506" w:rsidR="00964F3A" w:rsidRPr="00BC4DB7" w:rsidRDefault="00964F3A" w:rsidP="00964F3A">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w:t>
      </w:r>
      <w:r w:rsidR="009525F3" w:rsidRPr="00BC4DB7">
        <w:rPr>
          <w:b/>
          <w:bCs/>
          <w:sz w:val="32"/>
          <w:szCs w:val="32"/>
        </w:rPr>
        <w:t>5</w:t>
      </w:r>
    </w:p>
    <w:p w14:paraId="46EA4422" w14:textId="77777777" w:rsidR="00BC4DB7" w:rsidRPr="00BC4DB7" w:rsidRDefault="00BC4DB7" w:rsidP="003F6DA9">
      <w:pPr>
        <w:pStyle w:val="NormalWeb"/>
        <w:shd w:val="clear" w:color="auto" w:fill="FFFFFF"/>
        <w:spacing w:before="0" w:beforeAutospacing="0" w:after="200" w:afterAutospacing="0"/>
        <w:contextualSpacing/>
        <w:textAlignment w:val="baseline"/>
        <w:rPr>
          <w:b/>
          <w:bCs/>
          <w:sz w:val="32"/>
          <w:szCs w:val="32"/>
        </w:rPr>
      </w:pPr>
    </w:p>
    <w:p w14:paraId="34168FC2" w14:textId="4D36B5D3" w:rsidR="003D5986" w:rsidRPr="00BC4DB7" w:rsidRDefault="003F6DA9" w:rsidP="003F6DA9">
      <w:pPr>
        <w:pStyle w:val="NormalWeb"/>
        <w:shd w:val="clear" w:color="auto" w:fill="FFFFFF"/>
        <w:spacing w:before="0" w:beforeAutospacing="0" w:after="200" w:afterAutospacing="0"/>
        <w:contextualSpacing/>
        <w:textAlignment w:val="baseline"/>
        <w:rPr>
          <w:sz w:val="32"/>
          <w:szCs w:val="32"/>
        </w:rPr>
      </w:pPr>
      <w:r w:rsidRPr="00BC4DB7">
        <w:rPr>
          <w:b/>
          <w:bCs/>
          <w:sz w:val="32"/>
          <w:szCs w:val="32"/>
        </w:rPr>
        <w:t>A</w:t>
      </w:r>
      <w:r w:rsidR="009C4B9B" w:rsidRPr="00BC4DB7">
        <w:rPr>
          <w:b/>
          <w:bCs/>
          <w:sz w:val="32"/>
          <w:szCs w:val="32"/>
        </w:rPr>
        <w:t xml:space="preserve">rticle 25 </w:t>
      </w:r>
      <w:r w:rsidR="00673CCD" w:rsidRPr="00BC4DB7">
        <w:rPr>
          <w:sz w:val="32"/>
          <w:szCs w:val="32"/>
        </w:rPr>
        <w:t>covers</w:t>
      </w:r>
      <w:r w:rsidR="00673CCD" w:rsidRPr="00BC4DB7">
        <w:rPr>
          <w:b/>
          <w:bCs/>
          <w:sz w:val="32"/>
          <w:szCs w:val="32"/>
        </w:rPr>
        <w:t xml:space="preserve"> the ri</w:t>
      </w:r>
      <w:r w:rsidR="009C4B9B" w:rsidRPr="00BC4DB7">
        <w:rPr>
          <w:b/>
          <w:bCs/>
          <w:sz w:val="32"/>
          <w:szCs w:val="32"/>
        </w:rPr>
        <w:t>ght to health</w:t>
      </w:r>
      <w:r w:rsidR="00673CCD" w:rsidRPr="00BC4DB7">
        <w:rPr>
          <w:sz w:val="32"/>
          <w:szCs w:val="32"/>
        </w:rPr>
        <w:t xml:space="preserve">. This is a restatement of the right to health guaranteed in other international treaties, which we’ll talk about shortly. CCD </w:t>
      </w:r>
      <w:proofErr w:type="gramStart"/>
      <w:r w:rsidR="00673CCD" w:rsidRPr="00BC4DB7">
        <w:rPr>
          <w:sz w:val="32"/>
          <w:szCs w:val="32"/>
        </w:rPr>
        <w:t>actually sponsored</w:t>
      </w:r>
      <w:proofErr w:type="gramEnd"/>
      <w:r w:rsidR="00673CCD" w:rsidRPr="00BC4DB7">
        <w:rPr>
          <w:sz w:val="32"/>
          <w:szCs w:val="32"/>
        </w:rPr>
        <w:t xml:space="preserve"> a webinar in this series on the CRPD and the right to health on February 26 – check it out!</w:t>
      </w:r>
    </w:p>
    <w:p w14:paraId="4EFF1FE2" w14:textId="77777777" w:rsidR="003F6DA9" w:rsidRPr="00BC4DB7" w:rsidRDefault="003F6DA9" w:rsidP="003F6DA9">
      <w:pPr>
        <w:pStyle w:val="NormalWeb"/>
        <w:shd w:val="clear" w:color="auto" w:fill="FFFFFF"/>
        <w:spacing w:before="0" w:beforeAutospacing="0" w:after="200" w:afterAutospacing="0"/>
        <w:contextualSpacing/>
        <w:textAlignment w:val="baseline"/>
        <w:rPr>
          <w:sz w:val="32"/>
          <w:szCs w:val="32"/>
        </w:rPr>
      </w:pPr>
    </w:p>
    <w:p w14:paraId="7D3F52D3" w14:textId="68A9A3D5" w:rsidR="003F6DA9" w:rsidRPr="00BC4DB7" w:rsidRDefault="00160CAA" w:rsidP="003F6DA9">
      <w:pPr>
        <w:pStyle w:val="NormalWeb"/>
        <w:shd w:val="clear" w:color="auto" w:fill="FFFFFF"/>
        <w:spacing w:before="0" w:beforeAutospacing="0" w:after="200" w:afterAutospacing="0"/>
        <w:contextualSpacing/>
        <w:textAlignment w:val="baseline"/>
        <w:rPr>
          <w:sz w:val="32"/>
          <w:szCs w:val="32"/>
        </w:rPr>
      </w:pPr>
      <w:r w:rsidRPr="00BC4DB7">
        <w:rPr>
          <w:sz w:val="32"/>
          <w:szCs w:val="32"/>
        </w:rPr>
        <w:t xml:space="preserve">Part of Article 25 reads: </w:t>
      </w:r>
      <w:r w:rsidR="007A4B3A" w:rsidRPr="00BC4DB7">
        <w:rPr>
          <w:sz w:val="32"/>
          <w:szCs w:val="32"/>
        </w:rPr>
        <w:t xml:space="preserve">“States parties recognize that persons with disabilities have the right to the enjoyment of the </w:t>
      </w:r>
      <w:r w:rsidR="007A4B3A" w:rsidRPr="00BC4DB7">
        <w:rPr>
          <w:b/>
          <w:bCs/>
          <w:sz w:val="32"/>
          <w:szCs w:val="32"/>
        </w:rPr>
        <w:t>highest attainable standard of health,</w:t>
      </w:r>
      <w:r w:rsidR="007A4B3A" w:rsidRPr="00BC4DB7">
        <w:rPr>
          <w:sz w:val="32"/>
          <w:szCs w:val="32"/>
        </w:rPr>
        <w:t xml:space="preserve"> </w:t>
      </w:r>
      <w:r w:rsidR="007A4B3A" w:rsidRPr="00BC4DB7">
        <w:rPr>
          <w:b/>
          <w:bCs/>
          <w:sz w:val="32"/>
          <w:szCs w:val="32"/>
        </w:rPr>
        <w:t>without discrimination</w:t>
      </w:r>
      <w:r w:rsidR="007A4B3A" w:rsidRPr="00BC4DB7">
        <w:rPr>
          <w:sz w:val="32"/>
          <w:szCs w:val="32"/>
        </w:rPr>
        <w:t xml:space="preserve"> on the basis of disability.”  States Parties shall take </w:t>
      </w:r>
      <w:r w:rsidR="007A4B3A" w:rsidRPr="00BC4DB7">
        <w:rPr>
          <w:b/>
          <w:bCs/>
          <w:sz w:val="32"/>
          <w:szCs w:val="32"/>
        </w:rPr>
        <w:t>all appropriate measures</w:t>
      </w:r>
      <w:r w:rsidR="007A4B3A" w:rsidRPr="00BC4DB7">
        <w:rPr>
          <w:sz w:val="32"/>
          <w:szCs w:val="32"/>
        </w:rPr>
        <w:t xml:space="preserve"> to ensure access” including, as section F says, “[preventing] discriminatory denial of health care, health services, or food and fluids on the basis of disability.”</w:t>
      </w:r>
    </w:p>
    <w:p w14:paraId="6CF2D0CC" w14:textId="77777777" w:rsidR="003F6DA9" w:rsidRPr="00BC4DB7" w:rsidRDefault="003F6DA9" w:rsidP="003F6DA9">
      <w:pPr>
        <w:pStyle w:val="NormalWeb"/>
        <w:shd w:val="clear" w:color="auto" w:fill="FFFFFF"/>
        <w:spacing w:before="0" w:beforeAutospacing="0" w:after="200" w:afterAutospacing="0"/>
        <w:contextualSpacing/>
        <w:textAlignment w:val="baseline"/>
        <w:rPr>
          <w:sz w:val="32"/>
          <w:szCs w:val="32"/>
        </w:rPr>
      </w:pPr>
    </w:p>
    <w:p w14:paraId="43B55B87" w14:textId="21E7714B" w:rsidR="003D5986" w:rsidRPr="00BC4DB7" w:rsidRDefault="00B52E33" w:rsidP="003F6DA9">
      <w:pPr>
        <w:pStyle w:val="NormalWeb"/>
        <w:shd w:val="clear" w:color="auto" w:fill="FFFFFF"/>
        <w:spacing w:before="0" w:beforeAutospacing="0" w:after="200" w:afterAutospacing="0"/>
        <w:contextualSpacing/>
        <w:textAlignment w:val="baseline"/>
        <w:rPr>
          <w:sz w:val="32"/>
          <w:szCs w:val="32"/>
        </w:rPr>
      </w:pPr>
      <w:r w:rsidRPr="00BC4DB7">
        <w:rPr>
          <w:sz w:val="32"/>
          <w:szCs w:val="32"/>
        </w:rPr>
        <w:lastRenderedPageBreak/>
        <w:t>Th</w:t>
      </w:r>
      <w:r w:rsidR="007A4B3A" w:rsidRPr="00BC4DB7">
        <w:rPr>
          <w:sz w:val="32"/>
          <w:szCs w:val="32"/>
        </w:rPr>
        <w:t xml:space="preserve">e story of </w:t>
      </w:r>
      <w:hyperlink r:id="rId8" w:history="1">
        <w:r w:rsidR="007A4B3A" w:rsidRPr="00BC4DB7">
          <w:rPr>
            <w:rStyle w:val="Hyperlink"/>
            <w:sz w:val="32"/>
            <w:szCs w:val="32"/>
          </w:rPr>
          <w:t>Vincent Lambert</w:t>
        </w:r>
      </w:hyperlink>
      <w:r w:rsidR="007A4B3A" w:rsidRPr="00BC4DB7">
        <w:rPr>
          <w:sz w:val="32"/>
          <w:szCs w:val="32"/>
        </w:rPr>
        <w:t xml:space="preserve"> in France</w:t>
      </w:r>
      <w:r w:rsidRPr="00BC4DB7">
        <w:rPr>
          <w:sz w:val="32"/>
          <w:szCs w:val="32"/>
        </w:rPr>
        <w:t xml:space="preserve"> is a good example of the denial of this right</w:t>
      </w:r>
      <w:r w:rsidR="007A4B3A" w:rsidRPr="00BC4DB7">
        <w:rPr>
          <w:sz w:val="32"/>
          <w:szCs w:val="32"/>
        </w:rPr>
        <w:t>. Mr. Lambert was severely injured in a car accident in 2008. Various news reports described him as “quadriplegic” with a brain injury, in a “</w:t>
      </w:r>
      <w:hyperlink r:id="rId9" w:history="1">
        <w:r w:rsidR="007A4B3A" w:rsidRPr="00BC4DB7">
          <w:rPr>
            <w:rStyle w:val="Hyperlink"/>
            <w:sz w:val="32"/>
            <w:szCs w:val="32"/>
            <w:lang w:val="en-US"/>
          </w:rPr>
          <w:t>vegetative state</w:t>
        </w:r>
      </w:hyperlink>
      <w:r w:rsidR="007A4B3A" w:rsidRPr="00BC4DB7">
        <w:rPr>
          <w:sz w:val="32"/>
          <w:szCs w:val="32"/>
          <w:u w:val="single"/>
          <w:lang w:val="en-US"/>
        </w:rPr>
        <w:t>,</w:t>
      </w:r>
      <w:r w:rsidR="007A4B3A" w:rsidRPr="00BC4DB7">
        <w:rPr>
          <w:sz w:val="32"/>
          <w:szCs w:val="32"/>
        </w:rPr>
        <w:t>” or in a minimally conscious state. Mr. Lambert had no directive in place expressing what he wished to happen if he ever became incapacitated. A bitter family feud arose as a result. Mr. Lambert’s wife Rachel, and six of his eight siblings, maintained that he would not want to live with a severe cognitive disability. The two remaining siblings joined their devout Catholic parents, Pierre and Viviane Lambert, in fighting to continue the tube feeding</w:t>
      </w:r>
      <w:r w:rsidR="007A4B3A" w:rsidRPr="00BC4DB7">
        <w:rPr>
          <w:b/>
          <w:bCs/>
          <w:sz w:val="32"/>
          <w:szCs w:val="32"/>
        </w:rPr>
        <w:t>. </w:t>
      </w:r>
      <w:r w:rsidR="007A4B3A" w:rsidRPr="00BC4DB7">
        <w:rPr>
          <w:sz w:val="32"/>
          <w:szCs w:val="32"/>
          <w:lang w:val="en-US"/>
        </w:rPr>
        <w:t>The Court of Cassation – the highest applicable appeals court in France – finally</w:t>
      </w:r>
      <w:hyperlink r:id="rId10" w:history="1">
        <w:r w:rsidR="007A4B3A" w:rsidRPr="00BC4DB7">
          <w:rPr>
            <w:rStyle w:val="Hyperlink"/>
            <w:sz w:val="32"/>
            <w:szCs w:val="32"/>
            <w:lang w:val="en-US"/>
          </w:rPr>
          <w:t> ordered that his feeding tube be removed</w:t>
        </w:r>
      </w:hyperlink>
      <w:r w:rsidR="007A4B3A" w:rsidRPr="00BC4DB7">
        <w:rPr>
          <w:sz w:val="32"/>
          <w:szCs w:val="32"/>
          <w:lang w:val="en-US"/>
        </w:rPr>
        <w:t> on July 2</w:t>
      </w:r>
      <w:r w:rsidR="007A4B3A" w:rsidRPr="00BC4DB7">
        <w:rPr>
          <w:sz w:val="32"/>
          <w:szCs w:val="32"/>
          <w:vertAlign w:val="superscript"/>
          <w:lang w:val="en-US"/>
        </w:rPr>
        <w:t>nd</w:t>
      </w:r>
      <w:r w:rsidR="007A4B3A" w:rsidRPr="00BC4DB7">
        <w:rPr>
          <w:sz w:val="32"/>
          <w:szCs w:val="32"/>
          <w:lang w:val="en-US"/>
        </w:rPr>
        <w:t xml:space="preserve"> of last year; he died on the 11</w:t>
      </w:r>
      <w:r w:rsidR="007A4B3A" w:rsidRPr="00BC4DB7">
        <w:rPr>
          <w:sz w:val="32"/>
          <w:szCs w:val="32"/>
          <w:vertAlign w:val="superscript"/>
          <w:lang w:val="en-US"/>
        </w:rPr>
        <w:t>th</w:t>
      </w:r>
      <w:r w:rsidR="007A4B3A" w:rsidRPr="00BC4DB7">
        <w:rPr>
          <w:sz w:val="32"/>
          <w:szCs w:val="32"/>
          <w:lang w:val="en-US"/>
        </w:rPr>
        <w:t xml:space="preserve">. </w:t>
      </w:r>
    </w:p>
    <w:p w14:paraId="6C0B340E" w14:textId="77777777" w:rsidR="003F6DA9" w:rsidRPr="00BC4DB7" w:rsidRDefault="003F6DA9" w:rsidP="003F6DA9">
      <w:pPr>
        <w:pStyle w:val="NormalWeb"/>
        <w:shd w:val="clear" w:color="auto" w:fill="FFFFFF"/>
        <w:spacing w:before="0" w:beforeAutospacing="0" w:after="200" w:afterAutospacing="0"/>
        <w:contextualSpacing/>
        <w:textAlignment w:val="baseline"/>
        <w:rPr>
          <w:sz w:val="32"/>
          <w:szCs w:val="32"/>
        </w:rPr>
      </w:pPr>
    </w:p>
    <w:p w14:paraId="54F8161C" w14:textId="0675C4F3" w:rsidR="003D5986" w:rsidRPr="00BC4DB7" w:rsidRDefault="007A4B3A" w:rsidP="003F6DA9">
      <w:pPr>
        <w:pStyle w:val="NormalWeb"/>
        <w:shd w:val="clear" w:color="auto" w:fill="FFFFFF"/>
        <w:spacing w:before="0" w:beforeAutospacing="0" w:after="200" w:afterAutospacing="0"/>
        <w:contextualSpacing/>
        <w:textAlignment w:val="baseline"/>
        <w:rPr>
          <w:sz w:val="32"/>
          <w:szCs w:val="32"/>
        </w:rPr>
      </w:pPr>
      <w:r w:rsidRPr="00BC4DB7">
        <w:rPr>
          <w:sz w:val="32"/>
          <w:szCs w:val="32"/>
        </w:rPr>
        <w:t>As CCD’s Interim National Coordinator Steven Estey has written, “the Lambert case represents the first opportunity to apply the CRPD to a situation where a person was euthanized because of quality-of-life judgments based on severe cognitive disability.”  The Lambert case encompasses not only the right to life guaranteed by Article 10, but also the right to communication access in Article 21.</w:t>
      </w:r>
      <w:r w:rsidR="00DB61F5" w:rsidRPr="00BC4DB7">
        <w:rPr>
          <w:sz w:val="32"/>
          <w:szCs w:val="32"/>
        </w:rPr>
        <w:t xml:space="preserve"> </w:t>
      </w:r>
      <w:r w:rsidRPr="00BC4DB7">
        <w:rPr>
          <w:sz w:val="32"/>
          <w:szCs w:val="32"/>
        </w:rPr>
        <w:t xml:space="preserve">Article 25, where health services needed specifically due to a disability must be provided as early as possible, and food and fluids must not be denied on disability grounds, also comes into play. So does appropriate and timely rehabilitation, as described in Article 26. Many questions still need to be answered about the quality of the rehabilitation he received, as well as the use of technology to assist him in communicating.  </w:t>
      </w:r>
    </w:p>
    <w:p w14:paraId="5AB7324E" w14:textId="77777777" w:rsidR="003F6DA9" w:rsidRPr="00BC4DB7" w:rsidRDefault="003F6DA9" w:rsidP="003F6DA9">
      <w:pPr>
        <w:pStyle w:val="NormalWeb"/>
        <w:shd w:val="clear" w:color="auto" w:fill="FFFFFF"/>
        <w:spacing w:before="0" w:beforeAutospacing="0" w:after="200" w:afterAutospacing="0"/>
        <w:contextualSpacing/>
        <w:textAlignment w:val="baseline"/>
        <w:rPr>
          <w:sz w:val="32"/>
          <w:szCs w:val="32"/>
        </w:rPr>
      </w:pPr>
    </w:p>
    <w:p w14:paraId="54D98D04" w14:textId="5DFBADF3" w:rsidR="00964F3A" w:rsidRPr="00BC4DB7" w:rsidRDefault="00964F3A" w:rsidP="00964F3A">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w:t>
      </w:r>
      <w:r w:rsidR="009525F3" w:rsidRPr="00BC4DB7">
        <w:rPr>
          <w:b/>
          <w:bCs/>
          <w:sz w:val="32"/>
          <w:szCs w:val="32"/>
        </w:rPr>
        <w:t>6</w:t>
      </w:r>
    </w:p>
    <w:p w14:paraId="763E7346" w14:textId="77777777" w:rsidR="00BC4DB7" w:rsidRPr="00BC4DB7" w:rsidRDefault="00BC4DB7" w:rsidP="003F6DA9">
      <w:pPr>
        <w:pStyle w:val="NormalWeb"/>
        <w:shd w:val="clear" w:color="auto" w:fill="FFFFFF"/>
        <w:spacing w:before="0" w:beforeAutospacing="0" w:after="200" w:afterAutospacing="0"/>
        <w:contextualSpacing/>
        <w:textAlignment w:val="baseline"/>
        <w:rPr>
          <w:sz w:val="32"/>
          <w:szCs w:val="32"/>
        </w:rPr>
      </w:pPr>
    </w:p>
    <w:p w14:paraId="1226D038" w14:textId="24449615" w:rsidR="00D76C48" w:rsidRPr="00BC4DB7" w:rsidRDefault="00B52E33" w:rsidP="003F6DA9">
      <w:pPr>
        <w:pStyle w:val="NormalWeb"/>
        <w:shd w:val="clear" w:color="auto" w:fill="FFFFFF"/>
        <w:spacing w:before="0" w:beforeAutospacing="0" w:after="200" w:afterAutospacing="0"/>
        <w:contextualSpacing/>
        <w:textAlignment w:val="baseline"/>
        <w:rPr>
          <w:sz w:val="32"/>
          <w:szCs w:val="32"/>
        </w:rPr>
      </w:pPr>
      <w:r w:rsidRPr="00BC4DB7">
        <w:rPr>
          <w:sz w:val="32"/>
          <w:szCs w:val="32"/>
        </w:rPr>
        <w:t xml:space="preserve">Here’s </w:t>
      </w:r>
      <w:r w:rsidR="009C4B9B" w:rsidRPr="00BC4DB7">
        <w:rPr>
          <w:b/>
          <w:bCs/>
          <w:sz w:val="32"/>
          <w:szCs w:val="32"/>
        </w:rPr>
        <w:t xml:space="preserve">Article 26 – </w:t>
      </w:r>
      <w:r w:rsidR="00160CAA" w:rsidRPr="00BC4DB7">
        <w:rPr>
          <w:b/>
          <w:bCs/>
          <w:sz w:val="32"/>
          <w:szCs w:val="32"/>
        </w:rPr>
        <w:t>on h</w:t>
      </w:r>
      <w:r w:rsidR="009C4B9B" w:rsidRPr="00BC4DB7">
        <w:rPr>
          <w:b/>
          <w:bCs/>
          <w:sz w:val="32"/>
          <w:szCs w:val="32"/>
        </w:rPr>
        <w:t>abilitation and rehabilitation</w:t>
      </w:r>
      <w:r w:rsidR="00D76C48" w:rsidRPr="00BC4DB7">
        <w:rPr>
          <w:b/>
          <w:bCs/>
          <w:sz w:val="32"/>
          <w:szCs w:val="32"/>
        </w:rPr>
        <w:t xml:space="preserve">. </w:t>
      </w:r>
      <w:r w:rsidR="00D76C48" w:rsidRPr="00BC4DB7">
        <w:rPr>
          <w:sz w:val="32"/>
          <w:szCs w:val="32"/>
        </w:rPr>
        <w:t>Countries are asked to “</w:t>
      </w:r>
      <w:r w:rsidR="009C4B9B" w:rsidRPr="00BC4DB7">
        <w:rPr>
          <w:sz w:val="32"/>
          <w:szCs w:val="32"/>
        </w:rPr>
        <w:t xml:space="preserve">take effective and appropriate measures, including through </w:t>
      </w:r>
      <w:r w:rsidR="009C4B9B" w:rsidRPr="00BC4DB7">
        <w:rPr>
          <w:b/>
          <w:bCs/>
          <w:sz w:val="32"/>
          <w:szCs w:val="32"/>
        </w:rPr>
        <w:t>peer support</w:t>
      </w:r>
      <w:r w:rsidR="009C4B9B" w:rsidRPr="00BC4DB7">
        <w:rPr>
          <w:sz w:val="32"/>
          <w:szCs w:val="32"/>
        </w:rPr>
        <w:t xml:space="preserve">, to enable persons with disabilities to attain and maintain </w:t>
      </w:r>
      <w:r w:rsidR="009C4B9B" w:rsidRPr="00BC4DB7">
        <w:rPr>
          <w:b/>
          <w:bCs/>
          <w:sz w:val="32"/>
          <w:szCs w:val="32"/>
        </w:rPr>
        <w:t>maximum independence</w:t>
      </w:r>
      <w:r w:rsidR="009C4B9B" w:rsidRPr="00BC4DB7">
        <w:rPr>
          <w:sz w:val="32"/>
          <w:szCs w:val="32"/>
        </w:rPr>
        <w:t xml:space="preserve">, full physical, mental, social and vocational ability, and </w:t>
      </w:r>
      <w:r w:rsidR="009C4B9B" w:rsidRPr="00BC4DB7">
        <w:rPr>
          <w:b/>
          <w:bCs/>
          <w:sz w:val="32"/>
          <w:szCs w:val="32"/>
        </w:rPr>
        <w:t>full inclusion and participation</w:t>
      </w:r>
      <w:r w:rsidR="009C4B9B" w:rsidRPr="00BC4DB7">
        <w:rPr>
          <w:sz w:val="32"/>
          <w:szCs w:val="32"/>
        </w:rPr>
        <w:t xml:space="preserve"> in all aspects of life.”</w:t>
      </w:r>
      <w:r w:rsidR="00D76C48" w:rsidRPr="00BC4DB7">
        <w:rPr>
          <w:sz w:val="32"/>
          <w:szCs w:val="32"/>
        </w:rPr>
        <w:t xml:space="preserve"> It should be read in conjunction </w:t>
      </w:r>
      <w:r w:rsidR="009C4B9B" w:rsidRPr="00BC4DB7">
        <w:rPr>
          <w:sz w:val="32"/>
          <w:szCs w:val="32"/>
        </w:rPr>
        <w:t>with article 25</w:t>
      </w:r>
      <w:r w:rsidR="00D76C48" w:rsidRPr="00BC4DB7">
        <w:rPr>
          <w:sz w:val="32"/>
          <w:szCs w:val="32"/>
        </w:rPr>
        <w:t xml:space="preserve"> – after all, you cannot </w:t>
      </w:r>
      <w:r w:rsidR="00D76C48" w:rsidRPr="00BC4DB7">
        <w:rPr>
          <w:sz w:val="32"/>
          <w:szCs w:val="32"/>
        </w:rPr>
        <w:lastRenderedPageBreak/>
        <w:t>participate in other domains of life to the best of your ability if you are in poor health!</w:t>
      </w:r>
    </w:p>
    <w:p w14:paraId="42ABD424" w14:textId="77777777" w:rsidR="003D5986" w:rsidRPr="00BC4DB7" w:rsidRDefault="003D5986" w:rsidP="003D5986">
      <w:pPr>
        <w:pStyle w:val="NormalWeb"/>
        <w:shd w:val="clear" w:color="auto" w:fill="FFFFFF"/>
        <w:spacing w:before="0" w:beforeAutospacing="0" w:after="200" w:afterAutospacing="0"/>
        <w:ind w:left="720"/>
        <w:contextualSpacing/>
        <w:textAlignment w:val="baseline"/>
        <w:rPr>
          <w:sz w:val="32"/>
          <w:szCs w:val="32"/>
        </w:rPr>
      </w:pPr>
    </w:p>
    <w:p w14:paraId="3510BEF6" w14:textId="1F6E2C8D" w:rsidR="003D5986" w:rsidRPr="00BC4DB7" w:rsidRDefault="00B52E33" w:rsidP="003D5986">
      <w:pPr>
        <w:pStyle w:val="NormalWeb"/>
        <w:shd w:val="clear" w:color="auto" w:fill="FFFFFF"/>
        <w:spacing w:before="0" w:beforeAutospacing="0" w:after="200" w:afterAutospacing="0"/>
        <w:contextualSpacing/>
        <w:textAlignment w:val="baseline"/>
        <w:rPr>
          <w:sz w:val="32"/>
          <w:szCs w:val="32"/>
        </w:rPr>
      </w:pPr>
      <w:r w:rsidRPr="00BC4DB7">
        <w:rPr>
          <w:sz w:val="32"/>
          <w:szCs w:val="32"/>
        </w:rPr>
        <w:t>Now</w:t>
      </w:r>
      <w:r w:rsidR="003D5986" w:rsidRPr="00BC4DB7">
        <w:rPr>
          <w:sz w:val="32"/>
          <w:szCs w:val="32"/>
        </w:rPr>
        <w:t xml:space="preserve"> I’ll start going out of order. This group of articles</w:t>
      </w:r>
      <w:r w:rsidR="00681850" w:rsidRPr="00BC4DB7">
        <w:rPr>
          <w:sz w:val="32"/>
          <w:szCs w:val="32"/>
        </w:rPr>
        <w:t xml:space="preserve"> is connected to life in institutions, and the harms that are done to disabled people who live in them. </w:t>
      </w:r>
      <w:r w:rsidR="00486E4F" w:rsidRPr="00BC4DB7">
        <w:rPr>
          <w:sz w:val="32"/>
          <w:szCs w:val="32"/>
        </w:rPr>
        <w:br/>
      </w:r>
    </w:p>
    <w:p w14:paraId="611FFAF0" w14:textId="1B4D3B04" w:rsidR="00964F3A" w:rsidRPr="00BC4DB7" w:rsidRDefault="00964F3A" w:rsidP="00964F3A">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w:t>
      </w:r>
      <w:r w:rsidR="009525F3" w:rsidRPr="00BC4DB7">
        <w:rPr>
          <w:b/>
          <w:bCs/>
          <w:sz w:val="32"/>
          <w:szCs w:val="32"/>
        </w:rPr>
        <w:t>7</w:t>
      </w:r>
    </w:p>
    <w:p w14:paraId="2EA6671D" w14:textId="77777777" w:rsidR="00BC4DB7" w:rsidRPr="00BC4DB7" w:rsidRDefault="00BC4DB7" w:rsidP="003F6DA9">
      <w:pPr>
        <w:pStyle w:val="NormalWeb"/>
        <w:shd w:val="clear" w:color="auto" w:fill="FFFFFF"/>
        <w:spacing w:before="0" w:beforeAutospacing="0" w:after="200" w:afterAutospacing="0"/>
        <w:contextualSpacing/>
        <w:textAlignment w:val="baseline"/>
        <w:rPr>
          <w:b/>
          <w:bCs/>
          <w:sz w:val="32"/>
          <w:szCs w:val="32"/>
        </w:rPr>
      </w:pPr>
    </w:p>
    <w:p w14:paraId="0196390C" w14:textId="54D947DA" w:rsidR="003F6DA9" w:rsidRPr="00BC4DB7" w:rsidRDefault="00D76C48" w:rsidP="003F6DA9">
      <w:pPr>
        <w:pStyle w:val="NormalWeb"/>
        <w:shd w:val="clear" w:color="auto" w:fill="FFFFFF"/>
        <w:spacing w:before="0" w:beforeAutospacing="0" w:after="200" w:afterAutospacing="0"/>
        <w:contextualSpacing/>
        <w:textAlignment w:val="baseline"/>
        <w:rPr>
          <w:sz w:val="32"/>
          <w:szCs w:val="32"/>
        </w:rPr>
      </w:pPr>
      <w:r w:rsidRPr="00BC4DB7">
        <w:rPr>
          <w:b/>
          <w:bCs/>
          <w:sz w:val="32"/>
          <w:szCs w:val="32"/>
        </w:rPr>
        <w:t>Article 19</w:t>
      </w:r>
      <w:r w:rsidRPr="00BC4DB7">
        <w:rPr>
          <w:sz w:val="32"/>
          <w:szCs w:val="32"/>
        </w:rPr>
        <w:t xml:space="preserve"> deals with the right to </w:t>
      </w:r>
      <w:r w:rsidRPr="00BC4DB7">
        <w:rPr>
          <w:b/>
          <w:bCs/>
          <w:sz w:val="32"/>
          <w:szCs w:val="32"/>
        </w:rPr>
        <w:t>live</w:t>
      </w:r>
      <w:r w:rsidR="009C4B9B" w:rsidRPr="00BC4DB7">
        <w:rPr>
          <w:b/>
          <w:bCs/>
          <w:sz w:val="32"/>
          <w:szCs w:val="32"/>
        </w:rPr>
        <w:t xml:space="preserve"> independently</w:t>
      </w:r>
      <w:r w:rsidR="009C4B9B" w:rsidRPr="00BC4DB7">
        <w:rPr>
          <w:sz w:val="32"/>
          <w:szCs w:val="32"/>
        </w:rPr>
        <w:t xml:space="preserve"> and be included in the community</w:t>
      </w:r>
      <w:r w:rsidRPr="00BC4DB7">
        <w:rPr>
          <w:sz w:val="32"/>
          <w:szCs w:val="32"/>
        </w:rPr>
        <w:t>. Member states ought to “</w:t>
      </w:r>
      <w:r w:rsidR="009C4B9B" w:rsidRPr="00BC4DB7">
        <w:rPr>
          <w:sz w:val="32"/>
          <w:szCs w:val="32"/>
        </w:rPr>
        <w:t xml:space="preserve">recognize the equal right of all persons with disabilities to </w:t>
      </w:r>
      <w:r w:rsidR="009C4B9B" w:rsidRPr="00BC4DB7">
        <w:rPr>
          <w:b/>
          <w:bCs/>
          <w:sz w:val="32"/>
          <w:szCs w:val="32"/>
        </w:rPr>
        <w:t>live in the community</w:t>
      </w:r>
      <w:r w:rsidR="009C4B9B" w:rsidRPr="00BC4DB7">
        <w:rPr>
          <w:sz w:val="32"/>
          <w:szCs w:val="32"/>
        </w:rPr>
        <w:t xml:space="preserve">, with choices equal to others, and shall </w:t>
      </w:r>
      <w:r w:rsidR="009C4B9B" w:rsidRPr="00BC4DB7">
        <w:rPr>
          <w:b/>
          <w:bCs/>
          <w:sz w:val="32"/>
          <w:szCs w:val="32"/>
        </w:rPr>
        <w:t>take effective and appropriate measures</w:t>
      </w:r>
      <w:r w:rsidR="009C4B9B" w:rsidRPr="00BC4DB7">
        <w:rPr>
          <w:sz w:val="32"/>
          <w:szCs w:val="32"/>
        </w:rPr>
        <w:t xml:space="preserve"> </w:t>
      </w:r>
      <w:r w:rsidR="009C4B9B" w:rsidRPr="00BC4DB7">
        <w:rPr>
          <w:b/>
          <w:bCs/>
          <w:sz w:val="32"/>
          <w:szCs w:val="32"/>
        </w:rPr>
        <w:t>to facilitate full enjoyment</w:t>
      </w:r>
      <w:r w:rsidR="009C4B9B" w:rsidRPr="00BC4DB7">
        <w:rPr>
          <w:sz w:val="32"/>
          <w:szCs w:val="32"/>
        </w:rPr>
        <w:t xml:space="preserve"> by persons with disabilities of this right </w:t>
      </w:r>
      <w:r w:rsidR="009C4B9B" w:rsidRPr="00BC4DB7">
        <w:rPr>
          <w:b/>
          <w:bCs/>
          <w:sz w:val="32"/>
          <w:szCs w:val="32"/>
        </w:rPr>
        <w:t>and their full inclusion</w:t>
      </w:r>
      <w:r w:rsidR="009C4B9B" w:rsidRPr="00BC4DB7">
        <w:rPr>
          <w:sz w:val="32"/>
          <w:szCs w:val="32"/>
        </w:rPr>
        <w:t xml:space="preserve"> and participation in the community, including by ensuring that:</w:t>
      </w:r>
    </w:p>
    <w:p w14:paraId="18B78487" w14:textId="01EFBAEC" w:rsidR="003F6DA9" w:rsidRPr="00BC4DB7" w:rsidRDefault="009C4B9B" w:rsidP="003F6DA9">
      <w:pPr>
        <w:pStyle w:val="NormalWeb"/>
        <w:numPr>
          <w:ilvl w:val="0"/>
          <w:numId w:val="7"/>
        </w:numPr>
        <w:shd w:val="clear" w:color="auto" w:fill="FFFFFF"/>
        <w:spacing w:before="0" w:beforeAutospacing="0" w:after="200" w:afterAutospacing="0"/>
        <w:contextualSpacing/>
        <w:textAlignment w:val="baseline"/>
        <w:rPr>
          <w:sz w:val="32"/>
          <w:szCs w:val="32"/>
        </w:rPr>
      </w:pPr>
      <w:r w:rsidRPr="00BC4DB7">
        <w:rPr>
          <w:sz w:val="32"/>
          <w:szCs w:val="32"/>
        </w:rPr>
        <w:t xml:space="preserve">Persons with disabilities have the opportunity to </w:t>
      </w:r>
      <w:r w:rsidRPr="00BC4DB7">
        <w:rPr>
          <w:b/>
          <w:bCs/>
          <w:sz w:val="32"/>
          <w:szCs w:val="32"/>
        </w:rPr>
        <w:t>choose their place of residence</w:t>
      </w:r>
      <w:r w:rsidRPr="00BC4DB7">
        <w:rPr>
          <w:sz w:val="32"/>
          <w:szCs w:val="32"/>
        </w:rPr>
        <w:t xml:space="preserve"> and where and with whom they live on an equal basis with others and are not obliged to live in a particular living arrangemen</w:t>
      </w:r>
      <w:r w:rsidR="003F6DA9" w:rsidRPr="00BC4DB7">
        <w:rPr>
          <w:sz w:val="32"/>
          <w:szCs w:val="32"/>
        </w:rPr>
        <w:t xml:space="preserve">t, </w:t>
      </w:r>
      <w:proofErr w:type="gramStart"/>
      <w:r w:rsidR="003F6DA9" w:rsidRPr="00BC4DB7">
        <w:rPr>
          <w:sz w:val="32"/>
          <w:szCs w:val="32"/>
        </w:rPr>
        <w:t>and;</w:t>
      </w:r>
      <w:proofErr w:type="gramEnd"/>
    </w:p>
    <w:p w14:paraId="21250CBA" w14:textId="20B9F34D" w:rsidR="009C4B9B" w:rsidRPr="00BC4DB7" w:rsidRDefault="009C4B9B" w:rsidP="003F6DA9">
      <w:pPr>
        <w:pStyle w:val="NormalWeb"/>
        <w:numPr>
          <w:ilvl w:val="0"/>
          <w:numId w:val="7"/>
        </w:numPr>
        <w:shd w:val="clear" w:color="auto" w:fill="FFFFFF"/>
        <w:spacing w:before="0" w:beforeAutospacing="0" w:after="200" w:afterAutospacing="0"/>
        <w:contextualSpacing/>
        <w:textAlignment w:val="baseline"/>
        <w:rPr>
          <w:sz w:val="32"/>
          <w:szCs w:val="32"/>
        </w:rPr>
      </w:pPr>
      <w:r w:rsidRPr="00BC4DB7">
        <w:rPr>
          <w:sz w:val="32"/>
          <w:szCs w:val="32"/>
        </w:rPr>
        <w:t xml:space="preserve">Persons with disabilities have </w:t>
      </w:r>
      <w:r w:rsidRPr="00BC4DB7">
        <w:rPr>
          <w:b/>
          <w:bCs/>
          <w:sz w:val="32"/>
          <w:szCs w:val="32"/>
        </w:rPr>
        <w:t>access to a range of</w:t>
      </w:r>
      <w:r w:rsidRPr="00BC4DB7">
        <w:rPr>
          <w:sz w:val="32"/>
          <w:szCs w:val="32"/>
        </w:rPr>
        <w:t xml:space="preserve"> in-home, residential and other community support </w:t>
      </w:r>
      <w:r w:rsidRPr="00BC4DB7">
        <w:rPr>
          <w:b/>
          <w:bCs/>
          <w:sz w:val="32"/>
          <w:szCs w:val="32"/>
        </w:rPr>
        <w:t>services, including personal assistance</w:t>
      </w:r>
      <w:r w:rsidRPr="00BC4DB7">
        <w:rPr>
          <w:sz w:val="32"/>
          <w:szCs w:val="32"/>
        </w:rPr>
        <w:t xml:space="preserve"> necessary to support living and inclusion </w:t>
      </w:r>
      <w:r w:rsidRPr="00BC4DB7">
        <w:rPr>
          <w:b/>
          <w:bCs/>
          <w:sz w:val="32"/>
          <w:szCs w:val="32"/>
        </w:rPr>
        <w:t>in</w:t>
      </w:r>
      <w:r w:rsidRPr="00BC4DB7">
        <w:rPr>
          <w:sz w:val="32"/>
          <w:szCs w:val="32"/>
        </w:rPr>
        <w:t xml:space="preserve"> the community, and to prevent isolation or segregation </w:t>
      </w:r>
      <w:r w:rsidRPr="00BC4DB7">
        <w:rPr>
          <w:b/>
          <w:bCs/>
          <w:sz w:val="32"/>
          <w:szCs w:val="32"/>
        </w:rPr>
        <w:t>from</w:t>
      </w:r>
      <w:r w:rsidRPr="00BC4DB7">
        <w:rPr>
          <w:sz w:val="32"/>
          <w:szCs w:val="32"/>
        </w:rPr>
        <w:t xml:space="preserve"> the community.</w:t>
      </w:r>
    </w:p>
    <w:p w14:paraId="1F436C4B" w14:textId="7CDDC5F7" w:rsidR="00964F3A" w:rsidRPr="00BC4DB7" w:rsidRDefault="003F6DA9" w:rsidP="00964F3A">
      <w:pPr>
        <w:pStyle w:val="NormalWeb"/>
        <w:shd w:val="clear" w:color="auto" w:fill="FFFFFF"/>
        <w:spacing w:before="0" w:beforeAutospacing="0" w:after="200" w:afterAutospacing="0"/>
        <w:contextualSpacing/>
        <w:textAlignment w:val="baseline"/>
        <w:rPr>
          <w:b/>
          <w:bCs/>
          <w:sz w:val="32"/>
          <w:szCs w:val="32"/>
        </w:rPr>
      </w:pPr>
      <w:r w:rsidRPr="00BC4DB7">
        <w:rPr>
          <w:sz w:val="32"/>
          <w:szCs w:val="32"/>
        </w:rPr>
        <w:br/>
      </w:r>
      <w:r w:rsidR="00964F3A" w:rsidRPr="00BC4DB7">
        <w:rPr>
          <w:b/>
          <w:bCs/>
          <w:color w:val="C00000"/>
          <w:sz w:val="32"/>
          <w:szCs w:val="32"/>
        </w:rPr>
        <w:t>Next slide:</w:t>
      </w:r>
      <w:r w:rsidR="00964F3A" w:rsidRPr="00BC4DB7">
        <w:rPr>
          <w:b/>
          <w:bCs/>
          <w:sz w:val="32"/>
          <w:szCs w:val="32"/>
        </w:rPr>
        <w:t xml:space="preserve"> </w:t>
      </w:r>
      <w:r w:rsidR="009525F3" w:rsidRPr="00BC4DB7">
        <w:rPr>
          <w:b/>
          <w:bCs/>
          <w:sz w:val="32"/>
          <w:szCs w:val="32"/>
        </w:rPr>
        <w:t>8</w:t>
      </w:r>
    </w:p>
    <w:p w14:paraId="4FEE6F44" w14:textId="77777777" w:rsidR="00BC4DB7" w:rsidRPr="00BC4DB7" w:rsidRDefault="00BC4DB7" w:rsidP="003F6DA9">
      <w:pPr>
        <w:pStyle w:val="NormalWeb"/>
        <w:shd w:val="clear" w:color="auto" w:fill="FFFFFF"/>
        <w:spacing w:before="0" w:beforeAutospacing="0" w:after="200" w:afterAutospacing="0"/>
        <w:contextualSpacing/>
        <w:textAlignment w:val="baseline"/>
        <w:rPr>
          <w:sz w:val="32"/>
          <w:szCs w:val="32"/>
        </w:rPr>
      </w:pPr>
    </w:p>
    <w:p w14:paraId="325EB3B8" w14:textId="40CE931C" w:rsidR="003D5986" w:rsidRPr="00BC4DB7" w:rsidRDefault="00D76C48" w:rsidP="003F6DA9">
      <w:pPr>
        <w:pStyle w:val="NormalWeb"/>
        <w:shd w:val="clear" w:color="auto" w:fill="FFFFFF"/>
        <w:spacing w:before="0" w:beforeAutospacing="0" w:after="200" w:afterAutospacing="0"/>
        <w:contextualSpacing/>
        <w:textAlignment w:val="baseline"/>
        <w:rPr>
          <w:sz w:val="32"/>
          <w:szCs w:val="32"/>
        </w:rPr>
      </w:pPr>
      <w:r w:rsidRPr="00BC4DB7">
        <w:rPr>
          <w:sz w:val="32"/>
          <w:szCs w:val="32"/>
        </w:rPr>
        <w:t xml:space="preserve">Contrary </w:t>
      </w:r>
      <w:r w:rsidR="00067238" w:rsidRPr="00BC4DB7">
        <w:rPr>
          <w:sz w:val="32"/>
          <w:szCs w:val="32"/>
        </w:rPr>
        <w:t xml:space="preserve">to what many might think, Canada is still failing to uphold this right even after closing most of its residential institutions for people with disabilities. </w:t>
      </w:r>
      <w:r w:rsidR="009C4B9B" w:rsidRPr="00BC4DB7">
        <w:rPr>
          <w:sz w:val="32"/>
          <w:szCs w:val="32"/>
        </w:rPr>
        <w:t>In 2014, Beth MacLean, Joseph Delaney and Sheila Livingstone, three Nova Scotians with intellectual disabilities, filed a human rights complaint against the province for failing to provide a community-based alternative to Emerald Hall</w:t>
      </w:r>
      <w:r w:rsidR="00067238" w:rsidRPr="00BC4DB7">
        <w:rPr>
          <w:sz w:val="32"/>
          <w:szCs w:val="32"/>
        </w:rPr>
        <w:t xml:space="preserve"> – t</w:t>
      </w:r>
      <w:r w:rsidR="009C4B9B" w:rsidRPr="00BC4DB7">
        <w:rPr>
          <w:sz w:val="32"/>
          <w:szCs w:val="32"/>
        </w:rPr>
        <w:t xml:space="preserve">he locked psychiatric </w:t>
      </w:r>
      <w:r w:rsidR="009C4B9B" w:rsidRPr="00BC4DB7">
        <w:rPr>
          <w:sz w:val="32"/>
          <w:szCs w:val="32"/>
        </w:rPr>
        <w:lastRenderedPageBreak/>
        <w:t>unit where they lived. The complainants said this amounted to discrimination under the Nova Scotia Human Rights Act. </w:t>
      </w:r>
    </w:p>
    <w:p w14:paraId="680EC419" w14:textId="77777777" w:rsidR="003F6DA9" w:rsidRPr="00BC4DB7" w:rsidRDefault="003F6DA9" w:rsidP="003F6DA9">
      <w:pPr>
        <w:pStyle w:val="NormalWeb"/>
        <w:shd w:val="clear" w:color="auto" w:fill="FFFFFF"/>
        <w:spacing w:before="0" w:beforeAutospacing="0" w:after="200" w:afterAutospacing="0"/>
        <w:contextualSpacing/>
        <w:textAlignment w:val="baseline"/>
        <w:rPr>
          <w:sz w:val="32"/>
          <w:szCs w:val="32"/>
        </w:rPr>
      </w:pPr>
    </w:p>
    <w:p w14:paraId="2AC06E64" w14:textId="4C42CB20" w:rsidR="00067238" w:rsidRPr="00BC4DB7" w:rsidRDefault="009C4B9B" w:rsidP="003F6DA9">
      <w:pPr>
        <w:pStyle w:val="NormalWeb"/>
        <w:shd w:val="clear" w:color="auto" w:fill="FFFFFF"/>
        <w:spacing w:before="0" w:beforeAutospacing="0" w:after="200" w:afterAutospacing="0"/>
        <w:contextualSpacing/>
        <w:textAlignment w:val="baseline"/>
        <w:rPr>
          <w:sz w:val="32"/>
          <w:szCs w:val="32"/>
        </w:rPr>
      </w:pPr>
      <w:r w:rsidRPr="00BC4DB7">
        <w:rPr>
          <w:sz w:val="32"/>
          <w:szCs w:val="32"/>
        </w:rPr>
        <w:t xml:space="preserve">Mr. Delaney, Ms. MacLean, and the family of Ms. Livingstone (who died in 2016) sought help to move into community-based settings, and financial compensation for their time spent in the institution. In </w:t>
      </w:r>
      <w:hyperlink r:id="rId11" w:history="1">
        <w:r w:rsidRPr="00BC4DB7">
          <w:rPr>
            <w:rStyle w:val="Hyperlink"/>
            <w:sz w:val="32"/>
            <w:szCs w:val="32"/>
          </w:rPr>
          <w:t>March 2019</w:t>
        </w:r>
      </w:hyperlink>
      <w:r w:rsidRPr="00BC4DB7">
        <w:rPr>
          <w:sz w:val="32"/>
          <w:szCs w:val="32"/>
        </w:rPr>
        <w:t xml:space="preserve">, the Human Rights Board of Inquiry upheld the individuals’ complaint, but denied systemic discrimination </w:t>
      </w:r>
      <w:proofErr w:type="gramStart"/>
      <w:r w:rsidRPr="00BC4DB7">
        <w:rPr>
          <w:sz w:val="32"/>
          <w:szCs w:val="32"/>
        </w:rPr>
        <w:t>on the basis of</w:t>
      </w:r>
      <w:proofErr w:type="gramEnd"/>
      <w:r w:rsidRPr="00BC4DB7">
        <w:rPr>
          <w:sz w:val="32"/>
          <w:szCs w:val="32"/>
        </w:rPr>
        <w:t xml:space="preserve"> disability. This means that other disabled people in the same situation would have to file their own human rights complaints. The Disability Rights Coalition of Nova Scotia is appealing the Board’s decision, and in June 2019, the Canadian Association for Community Living, the Council of Canadians with Disabilities and People First of Canada were granted intervenor status at the Nova Scotia Court of Appeal.</w:t>
      </w:r>
    </w:p>
    <w:p w14:paraId="39775D1F" w14:textId="77777777" w:rsidR="00B52E33" w:rsidRPr="00BC4DB7" w:rsidRDefault="00B52E33" w:rsidP="003F6DA9">
      <w:pPr>
        <w:pStyle w:val="NormalWeb"/>
        <w:shd w:val="clear" w:color="auto" w:fill="FFFFFF"/>
        <w:spacing w:before="0" w:beforeAutospacing="0" w:after="200" w:afterAutospacing="0"/>
        <w:contextualSpacing/>
        <w:textAlignment w:val="baseline"/>
        <w:rPr>
          <w:sz w:val="32"/>
          <w:szCs w:val="32"/>
        </w:rPr>
      </w:pPr>
    </w:p>
    <w:p w14:paraId="25A7B076" w14:textId="5F8E7198" w:rsidR="00486E4F" w:rsidRPr="00BC4DB7" w:rsidRDefault="009C4B9B" w:rsidP="003F6DA9">
      <w:pPr>
        <w:pStyle w:val="NormalWeb"/>
        <w:shd w:val="clear" w:color="auto" w:fill="FFFFFF"/>
        <w:tabs>
          <w:tab w:val="left" w:pos="6510"/>
        </w:tabs>
        <w:spacing w:before="0" w:beforeAutospacing="0" w:after="200" w:afterAutospacing="0"/>
        <w:contextualSpacing/>
        <w:textAlignment w:val="baseline"/>
        <w:rPr>
          <w:sz w:val="32"/>
          <w:szCs w:val="32"/>
        </w:rPr>
      </w:pPr>
      <w:r w:rsidRPr="00BC4DB7">
        <w:rPr>
          <w:sz w:val="32"/>
          <w:szCs w:val="32"/>
        </w:rPr>
        <w:t xml:space="preserve">The </w:t>
      </w:r>
      <w:hyperlink r:id="rId12" w:history="1">
        <w:r w:rsidR="003D5986" w:rsidRPr="00BC4DB7">
          <w:rPr>
            <w:rStyle w:val="Hyperlink"/>
            <w:sz w:val="32"/>
            <w:szCs w:val="32"/>
          </w:rPr>
          <w:t>decision to award damages</w:t>
        </w:r>
      </w:hyperlink>
      <w:r w:rsidR="003D5986" w:rsidRPr="00BC4DB7">
        <w:rPr>
          <w:sz w:val="32"/>
          <w:szCs w:val="32"/>
        </w:rPr>
        <w:t xml:space="preserve"> </w:t>
      </w:r>
      <w:r w:rsidRPr="00BC4DB7">
        <w:rPr>
          <w:sz w:val="32"/>
          <w:szCs w:val="32"/>
        </w:rPr>
        <w:t xml:space="preserve">in December of 2019 was criticized in part because of the judge’s comments: “Joey Delaney is so disabled that payment to him of a very large sum will </w:t>
      </w:r>
      <w:r w:rsidRPr="00BC4DB7">
        <w:rPr>
          <w:b/>
          <w:bCs/>
          <w:sz w:val="32"/>
          <w:szCs w:val="32"/>
        </w:rPr>
        <w:t>not</w:t>
      </w:r>
      <w:r w:rsidRPr="00BC4DB7">
        <w:rPr>
          <w:sz w:val="32"/>
          <w:szCs w:val="32"/>
        </w:rPr>
        <w:t xml:space="preserve"> have a greater impact on his life than a moderate sum. Beth MacLean does have capacity, but the potential benefit to her of a very large damage award is </w:t>
      </w:r>
      <w:r w:rsidRPr="00BC4DB7">
        <w:rPr>
          <w:b/>
          <w:bCs/>
          <w:sz w:val="32"/>
          <w:szCs w:val="32"/>
        </w:rPr>
        <w:t>limited</w:t>
      </w:r>
      <w:r w:rsidRPr="00BC4DB7">
        <w:rPr>
          <w:sz w:val="32"/>
          <w:szCs w:val="32"/>
        </w:rPr>
        <w:t>. I do not suggest that a payment ought to be limited because of disability, but I do say that a lack of capacity to benefit from the fruits of an award of the size that is advocated is a relevant factor in discouraging me from ordering that they be paid millions.” </w:t>
      </w:r>
      <w:r w:rsidR="00681850" w:rsidRPr="00BC4DB7">
        <w:rPr>
          <w:sz w:val="32"/>
          <w:szCs w:val="32"/>
        </w:rPr>
        <w:t xml:space="preserve">If </w:t>
      </w:r>
      <w:r w:rsidR="00B52E33" w:rsidRPr="00BC4DB7">
        <w:rPr>
          <w:sz w:val="32"/>
          <w:szCs w:val="32"/>
        </w:rPr>
        <w:t>the judge believes the plaintiffs’</w:t>
      </w:r>
      <w:r w:rsidR="00681850" w:rsidRPr="00BC4DB7">
        <w:rPr>
          <w:sz w:val="32"/>
          <w:szCs w:val="32"/>
        </w:rPr>
        <w:t xml:space="preserve"> capacity is limited due to their disability, isn’t </w:t>
      </w:r>
      <w:r w:rsidR="00B52E33" w:rsidRPr="00BC4DB7">
        <w:rPr>
          <w:sz w:val="32"/>
          <w:szCs w:val="32"/>
        </w:rPr>
        <w:t>he</w:t>
      </w:r>
      <w:r w:rsidR="00681850" w:rsidRPr="00BC4DB7">
        <w:rPr>
          <w:sz w:val="32"/>
          <w:szCs w:val="32"/>
        </w:rPr>
        <w:t xml:space="preserve"> making that first </w:t>
      </w:r>
      <w:r w:rsidR="00B52E33" w:rsidRPr="00BC4DB7">
        <w:rPr>
          <w:sz w:val="32"/>
          <w:szCs w:val="32"/>
        </w:rPr>
        <w:t>s</w:t>
      </w:r>
      <w:r w:rsidR="00681850" w:rsidRPr="00BC4DB7">
        <w:rPr>
          <w:sz w:val="32"/>
          <w:szCs w:val="32"/>
        </w:rPr>
        <w:t>uggestion with a few more words? He assumes that due to disability, the plaintiffs should not receive what they are owed!</w:t>
      </w:r>
    </w:p>
    <w:p w14:paraId="2F64F799" w14:textId="77777777" w:rsidR="00486E4F" w:rsidRPr="00BC4DB7" w:rsidRDefault="00486E4F" w:rsidP="00486E4F">
      <w:pPr>
        <w:pStyle w:val="NormalWeb"/>
        <w:shd w:val="clear" w:color="auto" w:fill="FFFFFF"/>
        <w:tabs>
          <w:tab w:val="left" w:pos="6510"/>
        </w:tabs>
        <w:spacing w:before="0" w:beforeAutospacing="0" w:after="0" w:afterAutospacing="0"/>
        <w:contextualSpacing/>
        <w:textAlignment w:val="baseline"/>
        <w:rPr>
          <w:sz w:val="32"/>
          <w:szCs w:val="32"/>
        </w:rPr>
      </w:pPr>
    </w:p>
    <w:p w14:paraId="6A7680BA" w14:textId="29193E17" w:rsidR="00964F3A" w:rsidRPr="00BC4DB7" w:rsidRDefault="00964F3A" w:rsidP="00964F3A">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w:t>
      </w:r>
      <w:r w:rsidR="009525F3" w:rsidRPr="00BC4DB7">
        <w:rPr>
          <w:b/>
          <w:bCs/>
          <w:sz w:val="32"/>
          <w:szCs w:val="32"/>
        </w:rPr>
        <w:t>9</w:t>
      </w:r>
    </w:p>
    <w:p w14:paraId="777262B1" w14:textId="77777777" w:rsidR="00BC4DB7" w:rsidRPr="00BC4DB7" w:rsidRDefault="00BC4DB7" w:rsidP="003F6DA9">
      <w:pPr>
        <w:pStyle w:val="NormalWeb"/>
        <w:shd w:val="clear" w:color="auto" w:fill="FFFFFF"/>
        <w:spacing w:before="0" w:beforeAutospacing="0" w:after="200" w:afterAutospacing="0"/>
        <w:contextualSpacing/>
        <w:textAlignment w:val="baseline"/>
        <w:rPr>
          <w:sz w:val="32"/>
          <w:szCs w:val="32"/>
        </w:rPr>
      </w:pPr>
    </w:p>
    <w:p w14:paraId="344E6DD8" w14:textId="092F523B" w:rsidR="003F6DA9" w:rsidRPr="00BC4DB7" w:rsidRDefault="00486E4F" w:rsidP="003F6DA9">
      <w:pPr>
        <w:pStyle w:val="NormalWeb"/>
        <w:shd w:val="clear" w:color="auto" w:fill="FFFFFF"/>
        <w:spacing w:before="0" w:beforeAutospacing="0" w:after="200" w:afterAutospacing="0"/>
        <w:contextualSpacing/>
        <w:textAlignment w:val="baseline"/>
        <w:rPr>
          <w:sz w:val="32"/>
          <w:szCs w:val="32"/>
        </w:rPr>
      </w:pPr>
      <w:r w:rsidRPr="00BC4DB7">
        <w:rPr>
          <w:sz w:val="32"/>
          <w:szCs w:val="32"/>
        </w:rPr>
        <w:t xml:space="preserve">The UN Human Rights Council stated in the </w:t>
      </w:r>
      <w:r w:rsidRPr="00BC4DB7">
        <w:rPr>
          <w:b/>
          <w:bCs/>
          <w:sz w:val="32"/>
          <w:szCs w:val="32"/>
        </w:rPr>
        <w:t>2013 Report of the Special Rapporteur on Torture</w:t>
      </w:r>
      <w:r w:rsidRPr="00BC4DB7">
        <w:rPr>
          <w:sz w:val="32"/>
          <w:szCs w:val="32"/>
        </w:rPr>
        <w:t xml:space="preserve"> that consent to medical procedures must be “full, free, and informed.” Many disabled people remain trapped in long-term care facilities for lack of community-based services.  Such facilities are often unsanitary, in poor repair, understaffed and subject to </w:t>
      </w:r>
      <w:r w:rsidRPr="00BC4DB7">
        <w:rPr>
          <w:sz w:val="32"/>
          <w:szCs w:val="32"/>
        </w:rPr>
        <w:lastRenderedPageBreak/>
        <w:t xml:space="preserve">high staff turnover rates.  Nursing homes restrict the choices available to </w:t>
      </w:r>
      <w:proofErr w:type="gramStart"/>
      <w:r w:rsidRPr="00BC4DB7">
        <w:rPr>
          <w:sz w:val="32"/>
          <w:szCs w:val="32"/>
        </w:rPr>
        <w:t>residents, and</w:t>
      </w:r>
      <w:proofErr w:type="gramEnd"/>
      <w:r w:rsidRPr="00BC4DB7">
        <w:rPr>
          <w:sz w:val="32"/>
          <w:szCs w:val="32"/>
        </w:rPr>
        <w:t xml:space="preserve"> may have policies that amount to inhumane treatment. Meal, wake-up and </w:t>
      </w:r>
      <w:proofErr w:type="gramStart"/>
      <w:r w:rsidRPr="00BC4DB7">
        <w:rPr>
          <w:sz w:val="32"/>
          <w:szCs w:val="32"/>
        </w:rPr>
        <w:t>bed-times</w:t>
      </w:r>
      <w:proofErr w:type="gramEnd"/>
      <w:r w:rsidRPr="00BC4DB7">
        <w:rPr>
          <w:sz w:val="32"/>
          <w:szCs w:val="32"/>
        </w:rPr>
        <w:t xml:space="preserve"> are set based on facility schedules, baths may be limited, and toilet paper or adult diapers may be rationed. It is assumed that residents do not know what is best for them, and any aspects of life with which they express dissatisfaction </w:t>
      </w:r>
      <w:r w:rsidR="00DB61F5" w:rsidRPr="00BC4DB7">
        <w:rPr>
          <w:sz w:val="32"/>
          <w:szCs w:val="32"/>
        </w:rPr>
        <w:t>could be</w:t>
      </w:r>
      <w:r w:rsidRPr="00BC4DB7">
        <w:rPr>
          <w:sz w:val="32"/>
          <w:szCs w:val="32"/>
        </w:rPr>
        <w:t xml:space="preserve"> dismissed as “trivial.”  The limitations of institutional life increase the probability of physical, emotional, and financial abuse or neglect.  Since these situations involve “severe pain or suffering, intent, and involvement of a public official or another person acting in an official capacity,” the terms “torture” and “cruel, inhuman…treatment” </w:t>
      </w:r>
      <w:r w:rsidR="00547BA2" w:rsidRPr="00BC4DB7">
        <w:rPr>
          <w:sz w:val="32"/>
          <w:szCs w:val="32"/>
        </w:rPr>
        <w:t>apply</w:t>
      </w:r>
      <w:r w:rsidRPr="00BC4DB7">
        <w:rPr>
          <w:sz w:val="32"/>
          <w:szCs w:val="32"/>
        </w:rPr>
        <w:t>. If assisted suicide is perceived as the only way out of unbearable circumstances</w:t>
      </w:r>
      <w:r w:rsidR="00DB61F5" w:rsidRPr="00BC4DB7">
        <w:rPr>
          <w:sz w:val="32"/>
          <w:szCs w:val="32"/>
        </w:rPr>
        <w:t xml:space="preserve"> like these</w:t>
      </w:r>
      <w:r w:rsidRPr="00BC4DB7">
        <w:rPr>
          <w:sz w:val="32"/>
          <w:szCs w:val="32"/>
        </w:rPr>
        <w:t xml:space="preserve">, consent cannot be “full, free and informed.” </w:t>
      </w:r>
    </w:p>
    <w:p w14:paraId="7C94CD59" w14:textId="77777777" w:rsidR="003F6DA9" w:rsidRPr="00BC4DB7" w:rsidRDefault="003F6DA9" w:rsidP="003F6DA9">
      <w:pPr>
        <w:pStyle w:val="NormalWeb"/>
        <w:shd w:val="clear" w:color="auto" w:fill="FFFFFF"/>
        <w:spacing w:before="0" w:beforeAutospacing="0" w:after="200" w:afterAutospacing="0"/>
        <w:contextualSpacing/>
        <w:textAlignment w:val="baseline"/>
        <w:rPr>
          <w:sz w:val="32"/>
          <w:szCs w:val="32"/>
        </w:rPr>
      </w:pPr>
    </w:p>
    <w:p w14:paraId="04E83974" w14:textId="77777777" w:rsidR="009525F3" w:rsidRPr="00BC4DB7" w:rsidRDefault="00BF7D4F" w:rsidP="003F6DA9">
      <w:pPr>
        <w:pStyle w:val="NormalWeb"/>
        <w:shd w:val="clear" w:color="auto" w:fill="FFFFFF"/>
        <w:spacing w:before="0" w:beforeAutospacing="0" w:after="200" w:afterAutospacing="0"/>
        <w:contextualSpacing/>
        <w:textAlignment w:val="baseline"/>
        <w:rPr>
          <w:sz w:val="32"/>
          <w:szCs w:val="32"/>
          <w:shd w:val="clear" w:color="auto" w:fill="FFFFFF"/>
        </w:rPr>
      </w:pPr>
      <w:hyperlink r:id="rId13" w:history="1">
        <w:r w:rsidR="00486E4F" w:rsidRPr="00BC4DB7">
          <w:rPr>
            <w:rStyle w:val="Hyperlink"/>
            <w:sz w:val="32"/>
            <w:szCs w:val="32"/>
          </w:rPr>
          <w:t>A group of nursing home residents in Québec</w:t>
        </w:r>
      </w:hyperlink>
      <w:r w:rsidR="00486E4F" w:rsidRPr="00BC4DB7">
        <w:rPr>
          <w:sz w:val="32"/>
          <w:szCs w:val="32"/>
        </w:rPr>
        <w:t xml:space="preserve"> </w:t>
      </w:r>
      <w:proofErr w:type="gramStart"/>
      <w:r w:rsidR="003F6DA9" w:rsidRPr="00BC4DB7">
        <w:rPr>
          <w:sz w:val="32"/>
          <w:szCs w:val="32"/>
        </w:rPr>
        <w:t>actually has</w:t>
      </w:r>
      <w:proofErr w:type="gramEnd"/>
      <w:r w:rsidR="00486E4F" w:rsidRPr="00BC4DB7">
        <w:rPr>
          <w:sz w:val="32"/>
          <w:szCs w:val="32"/>
        </w:rPr>
        <w:t xml:space="preserve"> a class-action lawsuit underway</w:t>
      </w:r>
      <w:r w:rsidR="00F44B41" w:rsidRPr="00BC4DB7">
        <w:rPr>
          <w:sz w:val="32"/>
          <w:szCs w:val="32"/>
        </w:rPr>
        <w:t xml:space="preserve">; they claim to face </w:t>
      </w:r>
      <w:r w:rsidR="00486E4F" w:rsidRPr="00BC4DB7">
        <w:rPr>
          <w:sz w:val="32"/>
          <w:szCs w:val="32"/>
        </w:rPr>
        <w:t>cruel and inhumane treatment under the province’s human rights law.</w:t>
      </w:r>
      <w:r w:rsidR="003F6DA9" w:rsidRPr="00BC4DB7">
        <w:rPr>
          <w:sz w:val="32"/>
          <w:szCs w:val="32"/>
        </w:rPr>
        <w:t xml:space="preserve"> </w:t>
      </w:r>
      <w:r w:rsidR="00486E4F" w:rsidRPr="00BC4DB7">
        <w:rPr>
          <w:sz w:val="32"/>
          <w:szCs w:val="32"/>
        </w:rPr>
        <w:t xml:space="preserve">In their case, the relevant article is </w:t>
      </w:r>
      <w:r w:rsidR="00486E4F" w:rsidRPr="00BC4DB7">
        <w:rPr>
          <w:b/>
          <w:bCs/>
          <w:sz w:val="32"/>
          <w:szCs w:val="32"/>
        </w:rPr>
        <w:t>number 15</w:t>
      </w:r>
      <w:r w:rsidR="009C4B9B" w:rsidRPr="00BC4DB7">
        <w:rPr>
          <w:sz w:val="32"/>
          <w:szCs w:val="32"/>
        </w:rPr>
        <w:t>.</w:t>
      </w:r>
      <w:r w:rsidR="00486E4F" w:rsidRPr="00BC4DB7">
        <w:rPr>
          <w:sz w:val="32"/>
          <w:szCs w:val="32"/>
        </w:rPr>
        <w:t xml:space="preserve"> It states that “n</w:t>
      </w:r>
      <w:r w:rsidR="009C4B9B" w:rsidRPr="00BC4DB7">
        <w:rPr>
          <w:sz w:val="32"/>
          <w:szCs w:val="32"/>
        </w:rPr>
        <w:t>o one shall be subjected to torture or to cruel, inhuman or degrading treatment or punishment</w:t>
      </w:r>
      <w:r w:rsidR="00486E4F" w:rsidRPr="00BC4DB7">
        <w:rPr>
          <w:sz w:val="32"/>
          <w:szCs w:val="32"/>
        </w:rPr>
        <w:t>…</w:t>
      </w:r>
      <w:r w:rsidR="009C4B9B" w:rsidRPr="00BC4DB7">
        <w:rPr>
          <w:sz w:val="32"/>
          <w:szCs w:val="32"/>
          <w:shd w:val="clear" w:color="auto" w:fill="FFFFFF"/>
        </w:rPr>
        <w:t xml:space="preserve"> States Parties shall take all </w:t>
      </w:r>
      <w:r w:rsidR="009C4B9B" w:rsidRPr="00BC4DB7">
        <w:rPr>
          <w:b/>
          <w:bCs/>
          <w:sz w:val="32"/>
          <w:szCs w:val="32"/>
          <w:shd w:val="clear" w:color="auto" w:fill="FFFFFF"/>
        </w:rPr>
        <w:t>effective</w:t>
      </w:r>
      <w:r w:rsidR="009C4B9B" w:rsidRPr="00BC4DB7">
        <w:rPr>
          <w:sz w:val="32"/>
          <w:szCs w:val="32"/>
          <w:shd w:val="clear" w:color="auto" w:fill="FFFFFF"/>
        </w:rPr>
        <w:t xml:space="preserve"> legislative, administrative, judicial or other </w:t>
      </w:r>
      <w:r w:rsidR="009C4B9B" w:rsidRPr="00BC4DB7">
        <w:rPr>
          <w:b/>
          <w:bCs/>
          <w:sz w:val="32"/>
          <w:szCs w:val="32"/>
          <w:shd w:val="clear" w:color="auto" w:fill="FFFFFF"/>
        </w:rPr>
        <w:t>measures to prevent</w:t>
      </w:r>
      <w:r w:rsidR="009C4B9B" w:rsidRPr="00BC4DB7">
        <w:rPr>
          <w:sz w:val="32"/>
          <w:szCs w:val="32"/>
          <w:shd w:val="clear" w:color="auto" w:fill="FFFFFF"/>
        </w:rPr>
        <w:t xml:space="preserve"> persons with disabilities, </w:t>
      </w:r>
      <w:r w:rsidR="009C4B9B" w:rsidRPr="00BC4DB7">
        <w:rPr>
          <w:b/>
          <w:bCs/>
          <w:sz w:val="32"/>
          <w:szCs w:val="32"/>
          <w:shd w:val="clear" w:color="auto" w:fill="FFFFFF"/>
        </w:rPr>
        <w:t>on an equal basis with others</w:t>
      </w:r>
      <w:r w:rsidR="00486E4F" w:rsidRPr="00BC4DB7">
        <w:rPr>
          <w:b/>
          <w:bCs/>
          <w:sz w:val="32"/>
          <w:szCs w:val="32"/>
          <w:shd w:val="clear" w:color="auto" w:fill="FFFFFF"/>
        </w:rPr>
        <w:t>,</w:t>
      </w:r>
      <w:r w:rsidR="009C4B9B" w:rsidRPr="00BC4DB7">
        <w:rPr>
          <w:sz w:val="32"/>
          <w:szCs w:val="32"/>
          <w:shd w:val="clear" w:color="auto" w:fill="FFFFFF"/>
        </w:rPr>
        <w:t xml:space="preserve"> from being subjected to torture or </w:t>
      </w:r>
      <w:r w:rsidR="009C4B9B" w:rsidRPr="00BC4DB7">
        <w:rPr>
          <w:b/>
          <w:bCs/>
          <w:sz w:val="32"/>
          <w:szCs w:val="32"/>
          <w:shd w:val="clear" w:color="auto" w:fill="FFFFFF"/>
        </w:rPr>
        <w:t>cruel, inhuman or degrading treatment</w:t>
      </w:r>
      <w:r w:rsidR="009C4B9B" w:rsidRPr="00BC4DB7">
        <w:rPr>
          <w:sz w:val="32"/>
          <w:szCs w:val="32"/>
          <w:shd w:val="clear" w:color="auto" w:fill="FFFFFF"/>
        </w:rPr>
        <w:t xml:space="preserve"> or punishment.”</w:t>
      </w:r>
      <w:r w:rsidR="003F6DA9" w:rsidRPr="00BC4DB7">
        <w:rPr>
          <w:sz w:val="32"/>
          <w:szCs w:val="32"/>
          <w:shd w:val="clear" w:color="auto" w:fill="FFFFFF"/>
        </w:rPr>
        <w:t xml:space="preserve"> </w:t>
      </w:r>
    </w:p>
    <w:p w14:paraId="3DAE572F" w14:textId="77777777" w:rsidR="009525F3" w:rsidRPr="00BC4DB7" w:rsidRDefault="009525F3" w:rsidP="003F6DA9">
      <w:pPr>
        <w:pStyle w:val="NormalWeb"/>
        <w:shd w:val="clear" w:color="auto" w:fill="FFFFFF"/>
        <w:spacing w:before="0" w:beforeAutospacing="0" w:after="200" w:afterAutospacing="0"/>
        <w:contextualSpacing/>
        <w:textAlignment w:val="baseline"/>
        <w:rPr>
          <w:b/>
          <w:bCs/>
          <w:sz w:val="32"/>
          <w:szCs w:val="32"/>
        </w:rPr>
      </w:pPr>
    </w:p>
    <w:p w14:paraId="4928E047" w14:textId="7A412884" w:rsidR="009525F3" w:rsidRDefault="009525F3" w:rsidP="009525F3">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10</w:t>
      </w:r>
    </w:p>
    <w:p w14:paraId="30BC58D9" w14:textId="77777777" w:rsidR="00BC4DB7" w:rsidRPr="00BC4DB7" w:rsidRDefault="00BC4DB7" w:rsidP="009525F3">
      <w:pPr>
        <w:pStyle w:val="NormalWeb"/>
        <w:shd w:val="clear" w:color="auto" w:fill="FFFFFF"/>
        <w:spacing w:before="0" w:beforeAutospacing="0" w:after="200" w:afterAutospacing="0"/>
        <w:contextualSpacing/>
        <w:textAlignment w:val="baseline"/>
        <w:rPr>
          <w:b/>
          <w:bCs/>
          <w:sz w:val="32"/>
          <w:szCs w:val="32"/>
        </w:rPr>
      </w:pPr>
    </w:p>
    <w:p w14:paraId="6E658D65" w14:textId="16BF6F98" w:rsidR="009C4B9B" w:rsidRPr="00BC4DB7" w:rsidRDefault="003F6DA9" w:rsidP="003F6DA9">
      <w:pPr>
        <w:pStyle w:val="NormalWeb"/>
        <w:shd w:val="clear" w:color="auto" w:fill="FFFFFF"/>
        <w:spacing w:before="0" w:beforeAutospacing="0" w:after="200" w:afterAutospacing="0"/>
        <w:contextualSpacing/>
        <w:textAlignment w:val="baseline"/>
        <w:rPr>
          <w:sz w:val="32"/>
          <w:szCs w:val="32"/>
        </w:rPr>
      </w:pPr>
      <w:r w:rsidRPr="00BC4DB7">
        <w:rPr>
          <w:b/>
          <w:bCs/>
          <w:sz w:val="32"/>
          <w:szCs w:val="32"/>
          <w:shd w:val="clear" w:color="auto" w:fill="FFFFFF"/>
        </w:rPr>
        <w:t>Article 16</w:t>
      </w:r>
      <w:r w:rsidRPr="00BC4DB7">
        <w:rPr>
          <w:sz w:val="32"/>
          <w:szCs w:val="32"/>
          <w:shd w:val="clear" w:color="auto" w:fill="FFFFFF"/>
        </w:rPr>
        <w:t xml:space="preserve"> – </w:t>
      </w:r>
      <w:r w:rsidRPr="00BC4DB7">
        <w:rPr>
          <w:b/>
          <w:bCs/>
          <w:sz w:val="32"/>
          <w:szCs w:val="32"/>
          <w:shd w:val="clear" w:color="auto" w:fill="FFFFFF"/>
        </w:rPr>
        <w:t>freedom</w:t>
      </w:r>
      <w:r w:rsidRPr="00BC4DB7">
        <w:rPr>
          <w:sz w:val="32"/>
          <w:szCs w:val="32"/>
          <w:shd w:val="clear" w:color="auto" w:fill="FFFFFF"/>
        </w:rPr>
        <w:t xml:space="preserve"> </w:t>
      </w:r>
      <w:r w:rsidRPr="00BC4DB7">
        <w:rPr>
          <w:b/>
          <w:bCs/>
          <w:sz w:val="32"/>
          <w:szCs w:val="32"/>
        </w:rPr>
        <w:t xml:space="preserve">from exploitation, violence and abuse – </w:t>
      </w:r>
      <w:r w:rsidR="00547BA2" w:rsidRPr="00BC4DB7">
        <w:rPr>
          <w:sz w:val="32"/>
          <w:szCs w:val="32"/>
        </w:rPr>
        <w:t xml:space="preserve">is </w:t>
      </w:r>
      <w:r w:rsidRPr="00BC4DB7">
        <w:rPr>
          <w:sz w:val="32"/>
          <w:szCs w:val="32"/>
          <w:shd w:val="clear" w:color="auto" w:fill="FFFFFF"/>
        </w:rPr>
        <w:t xml:space="preserve">also </w:t>
      </w:r>
      <w:r w:rsidR="006C494E" w:rsidRPr="00BC4DB7">
        <w:rPr>
          <w:sz w:val="32"/>
          <w:szCs w:val="32"/>
          <w:shd w:val="clear" w:color="auto" w:fill="FFFFFF"/>
        </w:rPr>
        <w:t>applicable</w:t>
      </w:r>
      <w:r w:rsidRPr="00BC4DB7">
        <w:rPr>
          <w:sz w:val="32"/>
          <w:szCs w:val="32"/>
          <w:shd w:val="clear" w:color="auto" w:fill="FFFFFF"/>
        </w:rPr>
        <w:t>. States must “</w:t>
      </w:r>
      <w:r w:rsidRPr="00BC4DB7">
        <w:rPr>
          <w:sz w:val="32"/>
          <w:szCs w:val="32"/>
        </w:rPr>
        <w:t>take all appropriate…measures to protect persons with disabilities, both within and outside the home, from all forms of exploitation, violence and abuse, including their gender-based aspects. [They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576C4EFF" w14:textId="711F6174" w:rsidR="003F6DA9" w:rsidRPr="00BC4DB7" w:rsidRDefault="003F6DA9" w:rsidP="003F6DA9">
      <w:pPr>
        <w:pStyle w:val="NormalWeb"/>
        <w:shd w:val="clear" w:color="auto" w:fill="FFFFFF"/>
        <w:spacing w:before="0" w:beforeAutospacing="0" w:after="200" w:afterAutospacing="0"/>
        <w:contextualSpacing/>
        <w:textAlignment w:val="baseline"/>
        <w:rPr>
          <w:sz w:val="32"/>
          <w:szCs w:val="32"/>
        </w:rPr>
      </w:pPr>
    </w:p>
    <w:p w14:paraId="19A2EEE7" w14:textId="333DEB98" w:rsidR="00964F3A" w:rsidRPr="00BC4DB7" w:rsidRDefault="00964F3A" w:rsidP="00964F3A">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w:t>
      </w:r>
      <w:r w:rsidR="009525F3" w:rsidRPr="00BC4DB7">
        <w:rPr>
          <w:b/>
          <w:bCs/>
          <w:sz w:val="32"/>
          <w:szCs w:val="32"/>
        </w:rPr>
        <w:t>11</w:t>
      </w:r>
    </w:p>
    <w:p w14:paraId="2E9FDF78" w14:textId="77777777" w:rsidR="00BC4DB7" w:rsidRDefault="00BC4DB7" w:rsidP="003F6DA9">
      <w:pPr>
        <w:pStyle w:val="NormalWeb"/>
        <w:shd w:val="clear" w:color="auto" w:fill="FFFFFF"/>
        <w:spacing w:before="0" w:beforeAutospacing="0" w:after="200" w:afterAutospacing="0"/>
        <w:contextualSpacing/>
        <w:textAlignment w:val="baseline"/>
        <w:rPr>
          <w:sz w:val="32"/>
          <w:szCs w:val="32"/>
        </w:rPr>
      </w:pPr>
    </w:p>
    <w:p w14:paraId="32EF7AA4" w14:textId="44A95147" w:rsidR="009C4B9B" w:rsidRPr="00BC4DB7" w:rsidRDefault="003F6DA9" w:rsidP="003F6DA9">
      <w:pPr>
        <w:pStyle w:val="NormalWeb"/>
        <w:shd w:val="clear" w:color="auto" w:fill="FFFFFF"/>
        <w:spacing w:before="0" w:beforeAutospacing="0" w:after="200" w:afterAutospacing="0"/>
        <w:contextualSpacing/>
        <w:textAlignment w:val="baseline"/>
        <w:rPr>
          <w:sz w:val="32"/>
          <w:szCs w:val="32"/>
        </w:rPr>
      </w:pPr>
      <w:proofErr w:type="gramStart"/>
      <w:r w:rsidRPr="00BC4DB7">
        <w:rPr>
          <w:sz w:val="32"/>
          <w:szCs w:val="32"/>
        </w:rPr>
        <w:t>Last but not least</w:t>
      </w:r>
      <w:proofErr w:type="gramEnd"/>
      <w:r w:rsidRPr="00BC4DB7">
        <w:rPr>
          <w:sz w:val="32"/>
          <w:szCs w:val="32"/>
        </w:rPr>
        <w:t xml:space="preserve">, let’s look at </w:t>
      </w:r>
      <w:r w:rsidR="00BE11F0" w:rsidRPr="00BC4DB7">
        <w:rPr>
          <w:b/>
          <w:bCs/>
          <w:sz w:val="32"/>
          <w:szCs w:val="32"/>
        </w:rPr>
        <w:t>A</w:t>
      </w:r>
      <w:r w:rsidRPr="00BC4DB7">
        <w:rPr>
          <w:b/>
          <w:bCs/>
          <w:sz w:val="32"/>
          <w:szCs w:val="32"/>
        </w:rPr>
        <w:t>rticle 21</w:t>
      </w:r>
      <w:r w:rsidRPr="00BC4DB7">
        <w:rPr>
          <w:sz w:val="32"/>
          <w:szCs w:val="32"/>
        </w:rPr>
        <w:t xml:space="preserve">, which covers </w:t>
      </w:r>
      <w:r w:rsidRPr="00BC4DB7">
        <w:rPr>
          <w:b/>
          <w:bCs/>
          <w:sz w:val="32"/>
          <w:szCs w:val="32"/>
        </w:rPr>
        <w:t>f</w:t>
      </w:r>
      <w:r w:rsidR="009C4B9B" w:rsidRPr="00BC4DB7">
        <w:rPr>
          <w:b/>
          <w:bCs/>
          <w:sz w:val="32"/>
          <w:szCs w:val="32"/>
        </w:rPr>
        <w:t>reedom of expression and opinion, and access to information.</w:t>
      </w:r>
      <w:r w:rsidRPr="00BC4DB7">
        <w:rPr>
          <w:b/>
          <w:bCs/>
          <w:sz w:val="32"/>
          <w:szCs w:val="32"/>
        </w:rPr>
        <w:t xml:space="preserve"> </w:t>
      </w:r>
      <w:r w:rsidRPr="00BC4DB7">
        <w:rPr>
          <w:sz w:val="32"/>
          <w:szCs w:val="32"/>
        </w:rPr>
        <w:t xml:space="preserve">It requires states to </w:t>
      </w:r>
      <w:r w:rsidRPr="00BC4DB7">
        <w:rPr>
          <w:b/>
          <w:bCs/>
          <w:sz w:val="32"/>
          <w:szCs w:val="32"/>
        </w:rPr>
        <w:t>“</w:t>
      </w:r>
      <w:r w:rsidR="009C4B9B" w:rsidRPr="00BC4DB7">
        <w:rPr>
          <w:sz w:val="32"/>
          <w:szCs w:val="32"/>
        </w:rPr>
        <w:t xml:space="preserve">ensure that persons with disabilities can exercise the right to freedom of expression and opinion … on an equal basis with others.” </w:t>
      </w:r>
      <w:r w:rsidRPr="00BC4DB7">
        <w:rPr>
          <w:sz w:val="32"/>
          <w:szCs w:val="32"/>
        </w:rPr>
        <w:t>Among other things, this</w:t>
      </w:r>
      <w:r w:rsidR="009C4B9B" w:rsidRPr="00BC4DB7">
        <w:rPr>
          <w:sz w:val="32"/>
          <w:szCs w:val="32"/>
        </w:rPr>
        <w:t xml:space="preserve"> includes: </w:t>
      </w:r>
    </w:p>
    <w:p w14:paraId="2840AAE3" w14:textId="3B09F6F1" w:rsidR="009C4B9B" w:rsidRPr="00BC4DB7" w:rsidRDefault="009C4B9B" w:rsidP="003D5986">
      <w:pPr>
        <w:pStyle w:val="NormalWeb"/>
        <w:numPr>
          <w:ilvl w:val="2"/>
          <w:numId w:val="2"/>
        </w:numPr>
        <w:shd w:val="clear" w:color="auto" w:fill="FFFFFF"/>
        <w:spacing w:before="0" w:beforeAutospacing="0" w:after="0" w:afterAutospacing="0"/>
        <w:ind w:left="1216"/>
        <w:contextualSpacing/>
        <w:textAlignment w:val="baseline"/>
        <w:rPr>
          <w:sz w:val="32"/>
          <w:szCs w:val="32"/>
        </w:rPr>
      </w:pPr>
      <w:r w:rsidRPr="00BC4DB7">
        <w:rPr>
          <w:sz w:val="32"/>
          <w:szCs w:val="32"/>
        </w:rPr>
        <w:t>“Providing information … to persons with disabilities in accessible formats … in a timely manner and without additional cost</w:t>
      </w:r>
      <w:r w:rsidR="003F6DA9" w:rsidRPr="00BC4DB7">
        <w:rPr>
          <w:sz w:val="32"/>
          <w:szCs w:val="32"/>
        </w:rPr>
        <w:t xml:space="preserve">, </w:t>
      </w:r>
      <w:proofErr w:type="gramStart"/>
      <w:r w:rsidR="003F6DA9" w:rsidRPr="00BC4DB7">
        <w:rPr>
          <w:sz w:val="32"/>
          <w:szCs w:val="32"/>
        </w:rPr>
        <w:t>and</w:t>
      </w:r>
      <w:r w:rsidRPr="00BC4DB7">
        <w:rPr>
          <w:sz w:val="32"/>
          <w:szCs w:val="32"/>
        </w:rPr>
        <w:t>;</w:t>
      </w:r>
      <w:proofErr w:type="gramEnd"/>
      <w:r w:rsidRPr="00BC4DB7">
        <w:rPr>
          <w:sz w:val="32"/>
          <w:szCs w:val="32"/>
        </w:rPr>
        <w:t>”</w:t>
      </w:r>
    </w:p>
    <w:p w14:paraId="53E8A0FA" w14:textId="63DAA981" w:rsidR="009C4B9B" w:rsidRPr="00BC4DB7" w:rsidRDefault="003F6DA9" w:rsidP="003D5986">
      <w:pPr>
        <w:pStyle w:val="NormalWeb"/>
        <w:numPr>
          <w:ilvl w:val="2"/>
          <w:numId w:val="2"/>
        </w:numPr>
        <w:shd w:val="clear" w:color="auto" w:fill="FFFFFF"/>
        <w:spacing w:before="0" w:beforeAutospacing="0" w:after="0" w:afterAutospacing="0"/>
        <w:ind w:left="1216"/>
        <w:contextualSpacing/>
        <w:textAlignment w:val="baseline"/>
        <w:rPr>
          <w:sz w:val="32"/>
          <w:szCs w:val="32"/>
        </w:rPr>
      </w:pPr>
      <w:r w:rsidRPr="00BC4DB7">
        <w:rPr>
          <w:sz w:val="32"/>
          <w:szCs w:val="32"/>
        </w:rPr>
        <w:t>“</w:t>
      </w:r>
      <w:r w:rsidR="009C4B9B" w:rsidRPr="00BC4DB7">
        <w:rPr>
          <w:sz w:val="32"/>
          <w:szCs w:val="32"/>
        </w:rPr>
        <w:t>Accepting and facilitating the use of … augmentative and alternative communication, and all other accessible means … of communication of their choice by persons with disabilities in official interactions.</w:t>
      </w:r>
      <w:r w:rsidRPr="00BC4DB7">
        <w:rPr>
          <w:sz w:val="32"/>
          <w:szCs w:val="32"/>
        </w:rPr>
        <w:t>”</w:t>
      </w:r>
    </w:p>
    <w:p w14:paraId="0084A1E2" w14:textId="03F83FAF" w:rsidR="00964F3A" w:rsidRPr="00BC4DB7" w:rsidRDefault="00B52E33" w:rsidP="00964F3A">
      <w:pPr>
        <w:pStyle w:val="NormalWeb"/>
        <w:shd w:val="clear" w:color="auto" w:fill="FFFFFF"/>
        <w:spacing w:before="0" w:beforeAutospacing="0" w:after="200" w:afterAutospacing="0"/>
        <w:contextualSpacing/>
        <w:textAlignment w:val="baseline"/>
        <w:rPr>
          <w:b/>
          <w:bCs/>
          <w:sz w:val="32"/>
          <w:szCs w:val="32"/>
        </w:rPr>
      </w:pPr>
      <w:r w:rsidRPr="00BC4DB7">
        <w:rPr>
          <w:sz w:val="32"/>
          <w:szCs w:val="32"/>
        </w:rPr>
        <w:br/>
      </w:r>
      <w:r w:rsidR="00964F3A" w:rsidRPr="00BC4DB7">
        <w:rPr>
          <w:b/>
          <w:bCs/>
          <w:color w:val="C00000"/>
          <w:sz w:val="32"/>
          <w:szCs w:val="32"/>
        </w:rPr>
        <w:t>Next slide:</w:t>
      </w:r>
      <w:r w:rsidR="00964F3A" w:rsidRPr="00BC4DB7">
        <w:rPr>
          <w:b/>
          <w:bCs/>
          <w:sz w:val="32"/>
          <w:szCs w:val="32"/>
        </w:rPr>
        <w:t xml:space="preserve"> </w:t>
      </w:r>
      <w:r w:rsidR="009525F3" w:rsidRPr="00BC4DB7">
        <w:rPr>
          <w:b/>
          <w:bCs/>
          <w:sz w:val="32"/>
          <w:szCs w:val="32"/>
        </w:rPr>
        <w:t>12</w:t>
      </w:r>
    </w:p>
    <w:p w14:paraId="0B7FBE5D" w14:textId="77777777" w:rsidR="00BC4DB7" w:rsidRDefault="00BC4DB7" w:rsidP="00964F3A">
      <w:pPr>
        <w:pStyle w:val="NormalWeb"/>
        <w:shd w:val="clear" w:color="auto" w:fill="FFFFFF"/>
        <w:spacing w:before="0" w:beforeAutospacing="0" w:after="0" w:afterAutospacing="0"/>
        <w:contextualSpacing/>
        <w:textAlignment w:val="baseline"/>
        <w:rPr>
          <w:sz w:val="32"/>
          <w:szCs w:val="32"/>
        </w:rPr>
      </w:pPr>
    </w:p>
    <w:p w14:paraId="767FB921" w14:textId="464CCDCB" w:rsidR="009C4B9B" w:rsidRPr="00BC4DB7" w:rsidRDefault="00964F3A" w:rsidP="00964F3A">
      <w:pPr>
        <w:pStyle w:val="NormalWeb"/>
        <w:shd w:val="clear" w:color="auto" w:fill="FFFFFF"/>
        <w:spacing w:before="0" w:beforeAutospacing="0" w:after="0" w:afterAutospacing="0"/>
        <w:contextualSpacing/>
        <w:textAlignment w:val="baseline"/>
        <w:rPr>
          <w:sz w:val="32"/>
          <w:szCs w:val="32"/>
        </w:rPr>
      </w:pPr>
      <w:r w:rsidRPr="00BC4DB7">
        <w:rPr>
          <w:sz w:val="32"/>
          <w:szCs w:val="32"/>
        </w:rPr>
        <w:t xml:space="preserve"> </w:t>
      </w:r>
      <w:r w:rsidR="003F6DA9" w:rsidRPr="00BC4DB7">
        <w:rPr>
          <w:sz w:val="32"/>
          <w:szCs w:val="32"/>
        </w:rPr>
        <w:t>“</w:t>
      </w:r>
      <w:r w:rsidR="009C4B9B" w:rsidRPr="00BC4DB7">
        <w:rPr>
          <w:sz w:val="32"/>
          <w:szCs w:val="32"/>
        </w:rPr>
        <w:t xml:space="preserve">Access to communications” is also covered under article 9 – </w:t>
      </w:r>
      <w:r w:rsidR="00DB61F5" w:rsidRPr="00BC4DB7">
        <w:rPr>
          <w:sz w:val="32"/>
          <w:szCs w:val="32"/>
        </w:rPr>
        <w:t>a</w:t>
      </w:r>
      <w:r w:rsidR="009C4B9B" w:rsidRPr="00BC4DB7">
        <w:rPr>
          <w:sz w:val="32"/>
          <w:szCs w:val="32"/>
        </w:rPr>
        <w:t>ccessibility.</w:t>
      </w:r>
      <w:r w:rsidR="003F6DA9" w:rsidRPr="00BC4DB7">
        <w:rPr>
          <w:sz w:val="32"/>
          <w:szCs w:val="32"/>
        </w:rPr>
        <w:t xml:space="preserve"> However, both sections are missing some important points. </w:t>
      </w:r>
      <w:r w:rsidR="009C4B9B" w:rsidRPr="00BC4DB7">
        <w:rPr>
          <w:sz w:val="32"/>
          <w:szCs w:val="32"/>
        </w:rPr>
        <w:t xml:space="preserve">The CRPD doesn’t mention </w:t>
      </w:r>
      <w:r w:rsidR="003F6DA9" w:rsidRPr="00BC4DB7">
        <w:rPr>
          <w:sz w:val="32"/>
          <w:szCs w:val="32"/>
        </w:rPr>
        <w:t xml:space="preserve">use of </w:t>
      </w:r>
      <w:r w:rsidR="009C4B9B" w:rsidRPr="00BC4DB7">
        <w:rPr>
          <w:sz w:val="32"/>
          <w:szCs w:val="32"/>
        </w:rPr>
        <w:t xml:space="preserve">plain language, or </w:t>
      </w:r>
      <w:r w:rsidR="00093EBE" w:rsidRPr="00BC4DB7">
        <w:rPr>
          <w:sz w:val="32"/>
          <w:szCs w:val="32"/>
        </w:rPr>
        <w:t xml:space="preserve">“impartial” or </w:t>
      </w:r>
      <w:r w:rsidR="009C4B9B" w:rsidRPr="00BC4DB7">
        <w:rPr>
          <w:sz w:val="32"/>
          <w:szCs w:val="32"/>
        </w:rPr>
        <w:t>“effective” communication.</w:t>
      </w:r>
      <w:r w:rsidR="003F6DA9" w:rsidRPr="00BC4DB7">
        <w:rPr>
          <w:sz w:val="32"/>
          <w:szCs w:val="32"/>
        </w:rPr>
        <w:t xml:space="preserve"> (In other words, </w:t>
      </w:r>
      <w:r w:rsidR="00DB61F5" w:rsidRPr="00BC4DB7">
        <w:rPr>
          <w:sz w:val="32"/>
          <w:szCs w:val="32"/>
        </w:rPr>
        <w:t>someone could theoretically fulfill their obligations under this section by providing communication supports that</w:t>
      </w:r>
      <w:r w:rsidR="00093EBE" w:rsidRPr="00BC4DB7">
        <w:rPr>
          <w:sz w:val="32"/>
          <w:szCs w:val="32"/>
        </w:rPr>
        <w:t xml:space="preserve"> </w:t>
      </w:r>
      <w:r w:rsidR="00F244EA" w:rsidRPr="00BC4DB7">
        <w:rPr>
          <w:sz w:val="32"/>
          <w:szCs w:val="32"/>
        </w:rPr>
        <w:t xml:space="preserve">that are </w:t>
      </w:r>
      <w:r w:rsidR="00421F9D" w:rsidRPr="00BC4DB7">
        <w:rPr>
          <w:sz w:val="32"/>
          <w:szCs w:val="32"/>
        </w:rPr>
        <w:t>biased</w:t>
      </w:r>
      <w:r w:rsidR="00F244EA" w:rsidRPr="00BC4DB7">
        <w:rPr>
          <w:sz w:val="32"/>
          <w:szCs w:val="32"/>
        </w:rPr>
        <w:t xml:space="preserve"> and do not reflect the person’s </w:t>
      </w:r>
      <w:r w:rsidR="00AA18B0" w:rsidRPr="00BC4DB7">
        <w:rPr>
          <w:sz w:val="32"/>
          <w:szCs w:val="32"/>
        </w:rPr>
        <w:t xml:space="preserve">true </w:t>
      </w:r>
      <w:r w:rsidR="00F244EA" w:rsidRPr="00BC4DB7">
        <w:rPr>
          <w:sz w:val="32"/>
          <w:szCs w:val="32"/>
        </w:rPr>
        <w:t xml:space="preserve">wishes, or supports that </w:t>
      </w:r>
      <w:r w:rsidR="00093EBE" w:rsidRPr="00BC4DB7">
        <w:rPr>
          <w:sz w:val="32"/>
          <w:szCs w:val="32"/>
        </w:rPr>
        <w:t xml:space="preserve">may work, but not </w:t>
      </w:r>
      <w:r w:rsidR="00DB61F5" w:rsidRPr="00BC4DB7">
        <w:rPr>
          <w:sz w:val="32"/>
          <w:szCs w:val="32"/>
        </w:rPr>
        <w:t>for the person who needs them!)</w:t>
      </w:r>
      <w:r w:rsidR="003F6DA9" w:rsidRPr="00BC4DB7">
        <w:rPr>
          <w:sz w:val="32"/>
          <w:szCs w:val="32"/>
        </w:rPr>
        <w:t xml:space="preserve"> </w:t>
      </w:r>
      <w:r w:rsidR="00DB61F5" w:rsidRPr="00BC4DB7">
        <w:rPr>
          <w:sz w:val="32"/>
          <w:szCs w:val="32"/>
        </w:rPr>
        <w:br/>
      </w:r>
      <w:r w:rsidR="00DB61F5" w:rsidRPr="00BC4DB7">
        <w:rPr>
          <w:sz w:val="32"/>
          <w:szCs w:val="32"/>
        </w:rPr>
        <w:br/>
        <w:t>That’s it for my walkthrough of the applicable articles of the CRPD – I’m going to turn it over to Amy, who’s going to talk about how to make sure your rights are uph</w:t>
      </w:r>
      <w:r w:rsidR="00B52E33" w:rsidRPr="00BC4DB7">
        <w:rPr>
          <w:sz w:val="32"/>
          <w:szCs w:val="32"/>
        </w:rPr>
        <w:t xml:space="preserve">eld </w:t>
      </w:r>
      <w:r w:rsidR="00DB61F5" w:rsidRPr="00BC4DB7">
        <w:rPr>
          <w:sz w:val="32"/>
          <w:szCs w:val="32"/>
        </w:rPr>
        <w:t>using the Convention.</w:t>
      </w:r>
    </w:p>
    <w:p w14:paraId="00FAD0CE" w14:textId="6621DE60" w:rsidR="00860990" w:rsidRPr="00BC4DB7" w:rsidRDefault="00860990" w:rsidP="003D5986">
      <w:pPr>
        <w:contextualSpacing/>
        <w:rPr>
          <w:sz w:val="32"/>
          <w:szCs w:val="32"/>
        </w:rPr>
      </w:pPr>
    </w:p>
    <w:p w14:paraId="3C5D0110" w14:textId="05288CBC" w:rsidR="004F05FE" w:rsidRPr="00BC4DB7" w:rsidRDefault="004F05FE" w:rsidP="004F05FE">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13</w:t>
      </w:r>
    </w:p>
    <w:p w14:paraId="70FEF3A7" w14:textId="70F76FFE" w:rsidR="004F05FE" w:rsidRPr="004F05FE" w:rsidRDefault="004F05FE" w:rsidP="004F05FE">
      <w:pPr>
        <w:numPr>
          <w:ilvl w:val="0"/>
          <w:numId w:val="11"/>
        </w:numPr>
        <w:shd w:val="clear" w:color="auto" w:fill="FFFFFF"/>
        <w:spacing w:after="180"/>
        <w:ind w:left="360"/>
        <w:textAlignment w:val="baseline"/>
        <w:rPr>
          <w:rFonts w:ascii="Cambria" w:hAnsi="Cambria"/>
          <w:b/>
          <w:bCs/>
          <w:color w:val="222222"/>
          <w:sz w:val="32"/>
          <w:szCs w:val="32"/>
        </w:rPr>
      </w:pPr>
      <w:r w:rsidRPr="004F05FE">
        <w:rPr>
          <w:rFonts w:ascii="Cambria" w:hAnsi="Cambria"/>
          <w:b/>
          <w:bCs/>
          <w:color w:val="222222"/>
          <w:sz w:val="32"/>
          <w:szCs w:val="32"/>
        </w:rPr>
        <w:t>Using the CRPD to enforce rights</w:t>
      </w:r>
    </w:p>
    <w:p w14:paraId="7FD64B9E" w14:textId="77777777" w:rsidR="004F05FE" w:rsidRPr="004F05FE" w:rsidRDefault="004F05FE" w:rsidP="004F05FE">
      <w:pPr>
        <w:numPr>
          <w:ilvl w:val="1"/>
          <w:numId w:val="11"/>
        </w:numPr>
        <w:shd w:val="clear" w:color="auto" w:fill="FFFFFF"/>
        <w:spacing w:after="180"/>
        <w:ind w:left="785"/>
        <w:textAlignment w:val="baseline"/>
        <w:rPr>
          <w:rFonts w:ascii="Arial" w:hAnsi="Arial" w:cs="Arial"/>
          <w:color w:val="000000"/>
          <w:sz w:val="32"/>
          <w:szCs w:val="32"/>
        </w:rPr>
      </w:pPr>
      <w:r w:rsidRPr="004F05FE">
        <w:rPr>
          <w:rFonts w:ascii="Cambria" w:hAnsi="Cambria" w:cs="Arial"/>
          <w:color w:val="222222"/>
          <w:sz w:val="32"/>
          <w:szCs w:val="32"/>
        </w:rPr>
        <w:lastRenderedPageBreak/>
        <w:t xml:space="preserve">Canada must produce regular </w:t>
      </w:r>
      <w:r w:rsidRPr="004F05FE">
        <w:rPr>
          <w:rFonts w:ascii="Cambria" w:hAnsi="Cambria" w:cs="Arial"/>
          <w:b/>
          <w:bCs/>
          <w:color w:val="222222"/>
          <w:sz w:val="32"/>
          <w:szCs w:val="32"/>
        </w:rPr>
        <w:t>monitoring reports</w:t>
      </w:r>
      <w:r w:rsidRPr="004F05FE">
        <w:rPr>
          <w:rFonts w:ascii="Cambria" w:hAnsi="Cambria" w:cs="Arial"/>
          <w:color w:val="222222"/>
          <w:sz w:val="32"/>
          <w:szCs w:val="32"/>
        </w:rPr>
        <w:t xml:space="preserve"> (pursuant to CRPD Article 35).</w:t>
      </w:r>
    </w:p>
    <w:p w14:paraId="5B1FF9A3" w14:textId="77777777" w:rsidR="004F05FE" w:rsidRPr="004F05FE" w:rsidRDefault="004F05FE" w:rsidP="004F05FE">
      <w:pPr>
        <w:numPr>
          <w:ilvl w:val="2"/>
          <w:numId w:val="11"/>
        </w:numPr>
        <w:shd w:val="clear" w:color="auto" w:fill="FFFFFF"/>
        <w:spacing w:after="180"/>
        <w:ind w:left="1216"/>
        <w:textAlignment w:val="baseline"/>
        <w:rPr>
          <w:rFonts w:ascii="Arial" w:hAnsi="Arial" w:cs="Arial"/>
          <w:color w:val="222222"/>
          <w:sz w:val="32"/>
          <w:szCs w:val="32"/>
        </w:rPr>
      </w:pPr>
      <w:r w:rsidRPr="004F05FE">
        <w:rPr>
          <w:rFonts w:ascii="Cambria" w:hAnsi="Cambria" w:cs="Arial"/>
          <w:color w:val="222222"/>
          <w:sz w:val="32"/>
          <w:szCs w:val="32"/>
        </w:rPr>
        <w:t>Two years after ratification, then every four years.</w:t>
      </w:r>
    </w:p>
    <w:p w14:paraId="74B8CB30" w14:textId="77777777" w:rsidR="004F05FE" w:rsidRPr="004F05FE" w:rsidRDefault="004F05FE" w:rsidP="004F05FE">
      <w:pPr>
        <w:numPr>
          <w:ilvl w:val="2"/>
          <w:numId w:val="11"/>
        </w:numPr>
        <w:shd w:val="clear" w:color="auto" w:fill="FFFFFF"/>
        <w:spacing w:after="180"/>
        <w:ind w:left="1216"/>
        <w:textAlignment w:val="baseline"/>
        <w:rPr>
          <w:rFonts w:ascii="Arial" w:hAnsi="Arial" w:cs="Arial"/>
          <w:color w:val="222222"/>
          <w:sz w:val="32"/>
          <w:szCs w:val="32"/>
        </w:rPr>
      </w:pPr>
      <w:r w:rsidRPr="004F05FE">
        <w:rPr>
          <w:rFonts w:ascii="Cambria" w:hAnsi="Cambria" w:cs="Arial"/>
          <w:color w:val="222222"/>
          <w:sz w:val="32"/>
          <w:szCs w:val="32"/>
        </w:rPr>
        <w:t xml:space="preserve">Preliminary observations by the Special Rapporteur on the Rights of Persons with Disabilities following her visit in </w:t>
      </w:r>
      <w:hyperlink r:id="rId14" w:history="1">
        <w:r w:rsidRPr="00BC4DB7">
          <w:rPr>
            <w:rFonts w:ascii="Cambria" w:hAnsi="Cambria" w:cs="Arial"/>
            <w:color w:val="1155CC"/>
            <w:sz w:val="32"/>
            <w:szCs w:val="32"/>
            <w:u w:val="single"/>
          </w:rPr>
          <w:t>April, 2019</w:t>
        </w:r>
      </w:hyperlink>
      <w:r w:rsidRPr="004F05FE">
        <w:rPr>
          <w:rFonts w:ascii="Cambria" w:hAnsi="Cambria" w:cs="Arial"/>
          <w:color w:val="222222"/>
          <w:sz w:val="32"/>
          <w:szCs w:val="32"/>
        </w:rPr>
        <w:t>.</w:t>
      </w:r>
    </w:p>
    <w:p w14:paraId="7057DCA2" w14:textId="77777777" w:rsidR="004F05FE" w:rsidRPr="004F05FE" w:rsidRDefault="004F05FE" w:rsidP="004F05FE">
      <w:pPr>
        <w:numPr>
          <w:ilvl w:val="3"/>
          <w:numId w:val="12"/>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t>“discussions about the rights of persons with disabilities are still framed in terms of social assistance, rather than from a human rights-based approach.”</w:t>
      </w:r>
    </w:p>
    <w:p w14:paraId="4105D3EA" w14:textId="5CFC0269" w:rsidR="004F05FE" w:rsidRPr="00BC4DB7" w:rsidRDefault="004F05FE" w:rsidP="004F05FE">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14</w:t>
      </w:r>
    </w:p>
    <w:p w14:paraId="75B817C7" w14:textId="77777777" w:rsidR="004F05FE" w:rsidRPr="004F05FE" w:rsidRDefault="004F05FE" w:rsidP="004F05FE">
      <w:pPr>
        <w:numPr>
          <w:ilvl w:val="3"/>
          <w:numId w:val="12"/>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t>Access to independent living supports:</w:t>
      </w:r>
    </w:p>
    <w:p w14:paraId="327520E9" w14:textId="77777777" w:rsidR="004F05FE" w:rsidRPr="004F05FE" w:rsidRDefault="004F05FE" w:rsidP="004F05FE">
      <w:pPr>
        <w:numPr>
          <w:ilvl w:val="4"/>
          <w:numId w:val="13"/>
        </w:numPr>
        <w:shd w:val="clear" w:color="auto" w:fill="FFFFFF"/>
        <w:spacing w:after="180"/>
        <w:ind w:left="2061"/>
        <w:textAlignment w:val="baseline"/>
        <w:rPr>
          <w:rFonts w:ascii="Cambria" w:hAnsi="Cambria"/>
          <w:color w:val="222222"/>
          <w:sz w:val="32"/>
          <w:szCs w:val="32"/>
        </w:rPr>
      </w:pPr>
      <w:r w:rsidRPr="004F05FE">
        <w:rPr>
          <w:rFonts w:ascii="Cambria" w:hAnsi="Cambria"/>
          <w:color w:val="222222"/>
          <w:sz w:val="32"/>
          <w:szCs w:val="32"/>
        </w:rPr>
        <w:t>“Access to support is not considered as a right, but rather as a social assistance programme dependent on the availability of services;”</w:t>
      </w:r>
    </w:p>
    <w:p w14:paraId="527C489C" w14:textId="77777777" w:rsidR="004F05FE" w:rsidRPr="004F05FE" w:rsidRDefault="004F05FE" w:rsidP="004F05FE">
      <w:pPr>
        <w:numPr>
          <w:ilvl w:val="4"/>
          <w:numId w:val="13"/>
        </w:numPr>
        <w:shd w:val="clear" w:color="auto" w:fill="FFFFFF"/>
        <w:spacing w:after="180"/>
        <w:ind w:left="2061"/>
        <w:textAlignment w:val="baseline"/>
        <w:rPr>
          <w:rFonts w:ascii="Cambria" w:hAnsi="Cambria"/>
          <w:color w:val="222222"/>
          <w:sz w:val="32"/>
          <w:szCs w:val="32"/>
        </w:rPr>
      </w:pPr>
      <w:r w:rsidRPr="004F05FE">
        <w:rPr>
          <w:rFonts w:ascii="Cambria" w:hAnsi="Cambria"/>
          <w:color w:val="222222"/>
          <w:sz w:val="32"/>
          <w:szCs w:val="32"/>
        </w:rPr>
        <w:t>“legislation, services and programmes vary across provinces and territories … “</w:t>
      </w:r>
    </w:p>
    <w:p w14:paraId="43D8BC61" w14:textId="6A463198" w:rsidR="004F05FE" w:rsidRPr="00BC4DB7" w:rsidRDefault="004F05FE" w:rsidP="004F05FE">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15</w:t>
      </w:r>
    </w:p>
    <w:p w14:paraId="04FA6AD5" w14:textId="77777777" w:rsidR="004F05FE" w:rsidRPr="004F05FE" w:rsidRDefault="004F05FE" w:rsidP="004F05FE">
      <w:pPr>
        <w:numPr>
          <w:ilvl w:val="3"/>
          <w:numId w:val="13"/>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t>She was “extremely concerned” about the implementation of MAiD.</w:t>
      </w:r>
    </w:p>
    <w:p w14:paraId="15E11EE9" w14:textId="77777777" w:rsidR="004F05FE" w:rsidRPr="004F05FE" w:rsidRDefault="004F05FE" w:rsidP="004F05FE">
      <w:pPr>
        <w:numPr>
          <w:ilvl w:val="4"/>
          <w:numId w:val="13"/>
        </w:numPr>
        <w:shd w:val="clear" w:color="auto" w:fill="FFFFFF"/>
        <w:spacing w:after="180"/>
        <w:ind w:left="2061"/>
        <w:textAlignment w:val="baseline"/>
        <w:rPr>
          <w:rFonts w:ascii="Cambria" w:hAnsi="Cambria"/>
          <w:color w:val="222222"/>
          <w:sz w:val="32"/>
          <w:szCs w:val="32"/>
        </w:rPr>
      </w:pPr>
      <w:r w:rsidRPr="004F05FE">
        <w:rPr>
          <w:rFonts w:ascii="Cambria" w:hAnsi="Cambria"/>
          <w:color w:val="222222"/>
          <w:sz w:val="32"/>
          <w:szCs w:val="32"/>
        </w:rPr>
        <w:t xml:space="preserve">“No protocol in place to demonstrate that persons with disabilities have been </w:t>
      </w:r>
      <w:r w:rsidRPr="004F05FE">
        <w:rPr>
          <w:rFonts w:ascii="Cambria" w:hAnsi="Cambria"/>
          <w:b/>
          <w:bCs/>
          <w:color w:val="222222"/>
          <w:sz w:val="32"/>
          <w:szCs w:val="32"/>
        </w:rPr>
        <w:t>provided with viable alternatives</w:t>
      </w:r>
      <w:r w:rsidRPr="004F05FE">
        <w:rPr>
          <w:rFonts w:ascii="Cambria" w:hAnsi="Cambria"/>
          <w:color w:val="222222"/>
          <w:sz w:val="32"/>
          <w:szCs w:val="32"/>
        </w:rPr>
        <w:t xml:space="preserve"> ... for assistive dying.”</w:t>
      </w:r>
    </w:p>
    <w:p w14:paraId="786B8697" w14:textId="77777777" w:rsidR="004F05FE" w:rsidRPr="004F05FE" w:rsidRDefault="004F05FE" w:rsidP="004F05FE">
      <w:pPr>
        <w:numPr>
          <w:ilvl w:val="4"/>
          <w:numId w:val="13"/>
        </w:numPr>
        <w:shd w:val="clear" w:color="auto" w:fill="FFFFFF"/>
        <w:spacing w:after="180"/>
        <w:ind w:left="2061"/>
        <w:textAlignment w:val="baseline"/>
        <w:rPr>
          <w:rFonts w:ascii="Cambria" w:hAnsi="Cambria"/>
          <w:color w:val="222222"/>
          <w:sz w:val="32"/>
          <w:szCs w:val="32"/>
        </w:rPr>
      </w:pPr>
      <w:r w:rsidRPr="004F05FE">
        <w:rPr>
          <w:rFonts w:ascii="Cambria" w:hAnsi="Cambria"/>
          <w:color w:val="222222"/>
          <w:sz w:val="32"/>
          <w:szCs w:val="32"/>
        </w:rPr>
        <w:t xml:space="preserve">“worrisome claims about </w:t>
      </w:r>
      <w:r w:rsidRPr="004F05FE">
        <w:rPr>
          <w:rFonts w:ascii="Cambria" w:hAnsi="Cambria"/>
          <w:b/>
          <w:bCs/>
          <w:color w:val="222222"/>
          <w:sz w:val="32"/>
          <w:szCs w:val="32"/>
        </w:rPr>
        <w:t>persons with disabilities</w:t>
      </w:r>
      <w:r w:rsidRPr="004F05FE">
        <w:rPr>
          <w:rFonts w:ascii="Cambria" w:hAnsi="Cambria"/>
          <w:color w:val="222222"/>
          <w:sz w:val="32"/>
          <w:szCs w:val="32"/>
        </w:rPr>
        <w:t xml:space="preserve"> in institutions</w:t>
      </w:r>
      <w:r w:rsidRPr="004F05FE">
        <w:rPr>
          <w:rFonts w:ascii="Cambria" w:hAnsi="Cambria"/>
          <w:b/>
          <w:bCs/>
          <w:color w:val="222222"/>
          <w:sz w:val="32"/>
          <w:szCs w:val="32"/>
        </w:rPr>
        <w:t xml:space="preserve"> being</w:t>
      </w:r>
      <w:r w:rsidRPr="004F05FE">
        <w:rPr>
          <w:rFonts w:ascii="Cambria" w:hAnsi="Cambria"/>
          <w:color w:val="222222"/>
          <w:sz w:val="32"/>
          <w:szCs w:val="32"/>
        </w:rPr>
        <w:t xml:space="preserve"> </w:t>
      </w:r>
      <w:r w:rsidRPr="004F05FE">
        <w:rPr>
          <w:rFonts w:ascii="Cambria" w:hAnsi="Cambria"/>
          <w:b/>
          <w:bCs/>
          <w:color w:val="222222"/>
          <w:sz w:val="32"/>
          <w:szCs w:val="32"/>
        </w:rPr>
        <w:t xml:space="preserve">pressured </w:t>
      </w:r>
      <w:r w:rsidRPr="004F05FE">
        <w:rPr>
          <w:rFonts w:ascii="Cambria" w:hAnsi="Cambria"/>
          <w:color w:val="222222"/>
          <w:sz w:val="32"/>
          <w:szCs w:val="32"/>
        </w:rPr>
        <w:t xml:space="preserve">to seek medical assistance in dying, and </w:t>
      </w:r>
      <w:r w:rsidRPr="004F05FE">
        <w:rPr>
          <w:rFonts w:ascii="Cambria" w:hAnsi="Cambria"/>
          <w:b/>
          <w:bCs/>
          <w:color w:val="222222"/>
          <w:sz w:val="32"/>
          <w:szCs w:val="32"/>
        </w:rPr>
        <w:t xml:space="preserve">practitioners not formally reporting </w:t>
      </w:r>
      <w:r w:rsidRPr="004F05FE">
        <w:rPr>
          <w:rFonts w:ascii="Cambria" w:hAnsi="Cambria"/>
          <w:color w:val="222222"/>
          <w:sz w:val="32"/>
          <w:szCs w:val="32"/>
        </w:rPr>
        <w:t>cases involving persons with disabilities.</w:t>
      </w:r>
    </w:p>
    <w:p w14:paraId="75E53EC4" w14:textId="3CAE0ADE" w:rsidR="004F05FE" w:rsidRPr="00BC4DB7" w:rsidRDefault="004F05FE" w:rsidP="00CB2A0F">
      <w:pPr>
        <w:numPr>
          <w:ilvl w:val="4"/>
          <w:numId w:val="13"/>
        </w:numPr>
        <w:shd w:val="clear" w:color="auto" w:fill="FFFFFF"/>
        <w:spacing w:after="180"/>
        <w:ind w:left="2061"/>
        <w:textAlignment w:val="baseline"/>
        <w:rPr>
          <w:sz w:val="32"/>
          <w:szCs w:val="32"/>
        </w:rPr>
      </w:pPr>
      <w:r w:rsidRPr="004F05FE">
        <w:rPr>
          <w:rFonts w:ascii="Cambria" w:hAnsi="Cambria"/>
          <w:color w:val="222222"/>
          <w:sz w:val="32"/>
          <w:szCs w:val="32"/>
        </w:rPr>
        <w:t>Urges the federal government to “</w:t>
      </w:r>
      <w:r w:rsidRPr="004F05FE">
        <w:rPr>
          <w:rFonts w:ascii="Cambria" w:hAnsi="Cambria"/>
          <w:b/>
          <w:bCs/>
          <w:color w:val="222222"/>
          <w:sz w:val="32"/>
          <w:szCs w:val="32"/>
        </w:rPr>
        <w:t>investigate these complaints</w:t>
      </w:r>
      <w:r w:rsidRPr="004F05FE">
        <w:rPr>
          <w:rFonts w:ascii="Cambria" w:hAnsi="Cambria"/>
          <w:color w:val="222222"/>
          <w:sz w:val="32"/>
          <w:szCs w:val="32"/>
        </w:rPr>
        <w:t xml:space="preserve"> and </w:t>
      </w:r>
      <w:r w:rsidRPr="004F05FE">
        <w:rPr>
          <w:rFonts w:ascii="Cambria" w:hAnsi="Cambria"/>
          <w:b/>
          <w:bCs/>
          <w:color w:val="222222"/>
          <w:sz w:val="32"/>
          <w:szCs w:val="32"/>
        </w:rPr>
        <w:t>put into place</w:t>
      </w:r>
      <w:r w:rsidRPr="004F05FE">
        <w:rPr>
          <w:rFonts w:ascii="Cambria" w:hAnsi="Cambria"/>
          <w:color w:val="222222"/>
          <w:sz w:val="32"/>
          <w:szCs w:val="32"/>
        </w:rPr>
        <w:t xml:space="preserve"> </w:t>
      </w:r>
      <w:r w:rsidRPr="004F05FE">
        <w:rPr>
          <w:rFonts w:ascii="Cambria" w:hAnsi="Cambria"/>
          <w:b/>
          <w:bCs/>
          <w:color w:val="222222"/>
          <w:sz w:val="32"/>
          <w:szCs w:val="32"/>
        </w:rPr>
        <w:t xml:space="preserve">adequate </w:t>
      </w:r>
      <w:r w:rsidRPr="004F05FE">
        <w:rPr>
          <w:rFonts w:ascii="Cambria" w:hAnsi="Cambria"/>
          <w:b/>
          <w:bCs/>
          <w:color w:val="222222"/>
          <w:sz w:val="32"/>
          <w:szCs w:val="32"/>
        </w:rPr>
        <w:lastRenderedPageBreak/>
        <w:t>safeguards</w:t>
      </w:r>
      <w:r w:rsidRPr="004F05FE">
        <w:rPr>
          <w:rFonts w:ascii="Cambria" w:hAnsi="Cambria"/>
          <w:color w:val="222222"/>
          <w:sz w:val="32"/>
          <w:szCs w:val="32"/>
        </w:rPr>
        <w:t xml:space="preserve"> to ensure that persons with disabilities do not request assistive dying simply because of the absence of community-based alternatives and palliative care.”</w:t>
      </w:r>
    </w:p>
    <w:p w14:paraId="606DEB90" w14:textId="4C29E5B0" w:rsidR="00CB2A0F" w:rsidRPr="00BC4DB7" w:rsidRDefault="00CB2A0F" w:rsidP="00CB2A0F">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16</w:t>
      </w:r>
    </w:p>
    <w:p w14:paraId="02806826" w14:textId="27FED2AF" w:rsidR="004F05FE" w:rsidRPr="004F05FE" w:rsidRDefault="004F05FE" w:rsidP="004F05FE">
      <w:pPr>
        <w:numPr>
          <w:ilvl w:val="1"/>
          <w:numId w:val="8"/>
        </w:numPr>
        <w:shd w:val="clear" w:color="auto" w:fill="FFFFFF"/>
        <w:spacing w:after="180"/>
        <w:ind w:left="785"/>
        <w:textAlignment w:val="baseline"/>
        <w:rPr>
          <w:rFonts w:ascii="Arial" w:hAnsi="Arial" w:cs="Arial"/>
          <w:color w:val="000000"/>
          <w:sz w:val="32"/>
          <w:szCs w:val="32"/>
        </w:rPr>
      </w:pPr>
      <w:r w:rsidRPr="004F05FE">
        <w:rPr>
          <w:rFonts w:ascii="Cambria" w:hAnsi="Cambria" w:cs="Arial"/>
          <w:b/>
          <w:bCs/>
          <w:color w:val="222222"/>
          <w:sz w:val="32"/>
          <w:szCs w:val="32"/>
        </w:rPr>
        <w:t>Individual Communications</w:t>
      </w:r>
      <w:r w:rsidRPr="004F05FE">
        <w:rPr>
          <w:rFonts w:ascii="Cambria" w:hAnsi="Cambria" w:cs="Arial"/>
          <w:color w:val="222222"/>
          <w:sz w:val="32"/>
          <w:szCs w:val="32"/>
        </w:rPr>
        <w:t xml:space="preserve"> (Optional Protocol Articles 1-5)</w:t>
      </w:r>
    </w:p>
    <w:p w14:paraId="13281A54" w14:textId="77777777" w:rsidR="004F05FE" w:rsidRPr="004F05FE" w:rsidRDefault="004F05FE" w:rsidP="004F05FE">
      <w:pPr>
        <w:numPr>
          <w:ilvl w:val="2"/>
          <w:numId w:val="8"/>
        </w:numPr>
        <w:shd w:val="clear" w:color="auto" w:fill="FFFFFF"/>
        <w:spacing w:after="180"/>
        <w:ind w:left="1216"/>
        <w:textAlignment w:val="baseline"/>
        <w:rPr>
          <w:rFonts w:ascii="Arial" w:hAnsi="Arial" w:cs="Arial"/>
          <w:color w:val="222222"/>
          <w:sz w:val="32"/>
          <w:szCs w:val="32"/>
        </w:rPr>
      </w:pPr>
      <w:r w:rsidRPr="004F05FE">
        <w:rPr>
          <w:rFonts w:ascii="Cambria" w:hAnsi="Cambria" w:cs="Arial"/>
          <w:color w:val="222222"/>
          <w:sz w:val="32"/>
          <w:szCs w:val="32"/>
        </w:rPr>
        <w:t>People who are personally and directly affected by violations of the CRPD.</w:t>
      </w:r>
    </w:p>
    <w:p w14:paraId="0486B58E" w14:textId="77777777" w:rsidR="004F05FE" w:rsidRPr="004F05FE" w:rsidRDefault="004F05FE" w:rsidP="004F05FE">
      <w:pPr>
        <w:numPr>
          <w:ilvl w:val="2"/>
          <w:numId w:val="8"/>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Violation happened or continued after December 3, 2018.</w:t>
      </w:r>
    </w:p>
    <w:p w14:paraId="3EEFB312" w14:textId="77777777" w:rsidR="004F05FE" w:rsidRPr="004F05FE" w:rsidRDefault="004F05FE" w:rsidP="004F05FE">
      <w:pPr>
        <w:numPr>
          <w:ilvl w:val="2"/>
          <w:numId w:val="8"/>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Need to exhaust domestic remedies.</w:t>
      </w:r>
    </w:p>
    <w:p w14:paraId="0CB59302" w14:textId="77777777" w:rsidR="004F05FE" w:rsidRPr="004F05FE" w:rsidRDefault="004F05FE" w:rsidP="004F05FE">
      <w:pPr>
        <w:numPr>
          <w:ilvl w:val="2"/>
          <w:numId w:val="8"/>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State party has six months to respond.</w:t>
      </w:r>
    </w:p>
    <w:p w14:paraId="2CD5628F" w14:textId="77777777" w:rsidR="004F05FE" w:rsidRPr="004F05FE" w:rsidRDefault="00BF7D4F" w:rsidP="004F05FE">
      <w:pPr>
        <w:numPr>
          <w:ilvl w:val="2"/>
          <w:numId w:val="8"/>
        </w:numPr>
        <w:shd w:val="clear" w:color="auto" w:fill="FFFFFF"/>
        <w:spacing w:after="180"/>
        <w:ind w:left="1216"/>
        <w:textAlignment w:val="baseline"/>
        <w:rPr>
          <w:rFonts w:ascii="Cambria" w:hAnsi="Cambria"/>
          <w:color w:val="222222"/>
          <w:sz w:val="32"/>
          <w:szCs w:val="32"/>
        </w:rPr>
      </w:pPr>
      <w:hyperlink r:id="rId15" w:history="1">
        <w:r w:rsidR="004F05FE" w:rsidRPr="00BC4DB7">
          <w:rPr>
            <w:rFonts w:ascii="Cambria" w:hAnsi="Cambria"/>
            <w:color w:val="1155CC"/>
            <w:sz w:val="32"/>
            <w:szCs w:val="32"/>
            <w:u w:val="single"/>
          </w:rPr>
          <w:t>Database</w:t>
        </w:r>
      </w:hyperlink>
      <w:r w:rsidR="004F05FE" w:rsidRPr="004F05FE">
        <w:rPr>
          <w:rFonts w:ascii="Cambria" w:hAnsi="Cambria"/>
          <w:color w:val="222222"/>
          <w:sz w:val="32"/>
          <w:szCs w:val="32"/>
        </w:rPr>
        <w:t xml:space="preserve"> of Committee responses to Individual Communications under the CRPD</w:t>
      </w:r>
    </w:p>
    <w:p w14:paraId="7E5D78EF" w14:textId="7C777B87" w:rsidR="00CB2A0F" w:rsidRPr="00BC4DB7" w:rsidRDefault="00CB2A0F"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17</w:t>
      </w:r>
    </w:p>
    <w:p w14:paraId="1132CF95" w14:textId="77777777" w:rsidR="004F05FE" w:rsidRPr="004F05FE" w:rsidRDefault="004F05FE" w:rsidP="004F05FE">
      <w:pPr>
        <w:numPr>
          <w:ilvl w:val="2"/>
          <w:numId w:val="8"/>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The Roger Foley case:</w:t>
      </w:r>
    </w:p>
    <w:p w14:paraId="6552537B" w14:textId="77777777" w:rsidR="004F05FE" w:rsidRPr="004F05FE" w:rsidRDefault="004F05FE" w:rsidP="004F05FE">
      <w:pPr>
        <w:numPr>
          <w:ilvl w:val="3"/>
          <w:numId w:val="9"/>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t>Mr. Foley was admitted to Victoria Hospital in London, ON in February of 2016 after problems with workers from a home care agency put his life and health in danger.  Mr. Foley “was hospitalized from food poisoning after being fed spoiled food by Agency workers. Burners were left on in Mr. Foley’s Kitchen. Mr. Foley was physically injured from being dragged on the floor by Agency workers during transfers.” </w:t>
      </w:r>
    </w:p>
    <w:p w14:paraId="2259730C" w14:textId="77777777" w:rsidR="004F05FE" w:rsidRPr="004F05FE" w:rsidRDefault="004F05FE" w:rsidP="004F05FE">
      <w:pPr>
        <w:numPr>
          <w:ilvl w:val="3"/>
          <w:numId w:val="9"/>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t xml:space="preserve">In the hospital, staff failed to accommodate his disability and “routinely held important meetings about Mr. Foley, which he could not attend due to his disability.” According to a civil </w:t>
      </w:r>
      <w:hyperlink r:id="rId16" w:history="1">
        <w:r w:rsidRPr="00BC4DB7">
          <w:rPr>
            <w:rFonts w:ascii="Cambria" w:hAnsi="Cambria"/>
            <w:color w:val="1155CC"/>
            <w:sz w:val="32"/>
            <w:szCs w:val="32"/>
            <w:u w:val="single"/>
          </w:rPr>
          <w:t>complaint</w:t>
        </w:r>
      </w:hyperlink>
      <w:r w:rsidRPr="004F05FE">
        <w:rPr>
          <w:rFonts w:ascii="Cambria" w:hAnsi="Cambria"/>
          <w:color w:val="222222"/>
          <w:sz w:val="32"/>
          <w:szCs w:val="32"/>
        </w:rPr>
        <w:t xml:space="preserve"> filed in Ontario Superior Court, hospital staff “denied Mr. Foley … food and water, for an entire week,” in 2018.</w:t>
      </w:r>
    </w:p>
    <w:p w14:paraId="5C9F5346" w14:textId="77777777" w:rsidR="004F05FE" w:rsidRPr="004F05FE" w:rsidRDefault="004F05FE" w:rsidP="004F05FE">
      <w:pPr>
        <w:numPr>
          <w:ilvl w:val="3"/>
          <w:numId w:val="9"/>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lastRenderedPageBreak/>
        <w:t>“On several occasions, hospital staff … threaten[ed] to charge him approximately $1,800 per day of hospital care if he would not leave the hospital... Mr. Foley was told by hospital staff that he had stayed at the hospital for too long and if he did not receive self-directed funding he should apply for assisted death as an option.”</w:t>
      </w:r>
    </w:p>
    <w:p w14:paraId="0ECADFAF" w14:textId="05556880" w:rsidR="00CB2A0F" w:rsidRPr="00BC4DB7" w:rsidRDefault="00CB2A0F" w:rsidP="00CB2A0F">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18</w:t>
      </w:r>
    </w:p>
    <w:p w14:paraId="674A7BF2" w14:textId="77777777" w:rsidR="004F05FE" w:rsidRPr="004F05FE" w:rsidRDefault="004F05FE" w:rsidP="004F05FE">
      <w:pPr>
        <w:numPr>
          <w:ilvl w:val="3"/>
          <w:numId w:val="9"/>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t>Mr. Foley also filed an individual communication with the United Nations under the Optional Protocol of the CRPD.  </w:t>
      </w:r>
    </w:p>
    <w:p w14:paraId="2F81D2C0" w14:textId="77777777" w:rsidR="004F05FE" w:rsidRPr="004F05FE" w:rsidRDefault="004F05FE" w:rsidP="004F05FE">
      <w:pPr>
        <w:numPr>
          <w:ilvl w:val="4"/>
          <w:numId w:val="10"/>
        </w:numPr>
        <w:shd w:val="clear" w:color="auto" w:fill="FFFFFF"/>
        <w:spacing w:after="180"/>
        <w:ind w:left="2061"/>
        <w:textAlignment w:val="baseline"/>
        <w:rPr>
          <w:rFonts w:ascii="Cambria" w:hAnsi="Cambria"/>
          <w:color w:val="222222"/>
          <w:sz w:val="32"/>
          <w:szCs w:val="32"/>
        </w:rPr>
      </w:pPr>
      <w:r w:rsidRPr="004F05FE">
        <w:rPr>
          <w:rFonts w:ascii="Cambria" w:hAnsi="Cambria"/>
          <w:color w:val="222222"/>
          <w:sz w:val="32"/>
          <w:szCs w:val="32"/>
        </w:rPr>
        <w:t xml:space="preserve">After meeting with Mr. Foley during her visit in April of 2019, the Special Rapporteur on the rights of persons with disabilities, Catalina </w:t>
      </w:r>
      <w:proofErr w:type="spellStart"/>
      <w:r w:rsidRPr="004F05FE">
        <w:rPr>
          <w:rFonts w:ascii="Cambria" w:hAnsi="Cambria"/>
          <w:color w:val="222222"/>
          <w:sz w:val="32"/>
          <w:szCs w:val="32"/>
        </w:rPr>
        <w:t>Devandas</w:t>
      </w:r>
      <w:proofErr w:type="spellEnd"/>
      <w:r w:rsidRPr="004F05FE">
        <w:rPr>
          <w:rFonts w:ascii="Cambria" w:hAnsi="Cambria"/>
          <w:color w:val="222222"/>
          <w:sz w:val="32"/>
          <w:szCs w:val="32"/>
        </w:rPr>
        <w:t xml:space="preserve">-Aguilar joined with </w:t>
      </w:r>
      <w:proofErr w:type="spellStart"/>
      <w:r w:rsidRPr="004F05FE">
        <w:rPr>
          <w:rFonts w:ascii="Cambria" w:hAnsi="Cambria"/>
          <w:color w:val="222222"/>
          <w:sz w:val="32"/>
          <w:szCs w:val="32"/>
        </w:rPr>
        <w:t>Dainius</w:t>
      </w:r>
      <w:proofErr w:type="spellEnd"/>
      <w:r w:rsidRPr="004F05FE">
        <w:rPr>
          <w:rFonts w:ascii="Cambria" w:hAnsi="Cambria"/>
          <w:color w:val="222222"/>
          <w:sz w:val="32"/>
          <w:szCs w:val="32"/>
        </w:rPr>
        <w:t xml:space="preserve"> </w:t>
      </w:r>
      <w:proofErr w:type="spellStart"/>
      <w:r w:rsidRPr="004F05FE">
        <w:rPr>
          <w:rFonts w:ascii="Cambria" w:hAnsi="Cambria"/>
          <w:color w:val="222222"/>
          <w:sz w:val="32"/>
          <w:szCs w:val="32"/>
        </w:rPr>
        <w:t>Puras</w:t>
      </w:r>
      <w:proofErr w:type="spellEnd"/>
      <w:r w:rsidRPr="004F05FE">
        <w:rPr>
          <w:rFonts w:ascii="Cambria" w:hAnsi="Cambria"/>
          <w:color w:val="222222"/>
          <w:sz w:val="32"/>
          <w:szCs w:val="32"/>
        </w:rPr>
        <w:t xml:space="preserve">, Special Rapporteur on the right to physical and mental health in sending a </w:t>
      </w:r>
      <w:hyperlink r:id="rId17" w:history="1">
        <w:r w:rsidRPr="00BC4DB7">
          <w:rPr>
            <w:rFonts w:ascii="Cambria" w:hAnsi="Cambria"/>
            <w:color w:val="1155CC"/>
            <w:sz w:val="32"/>
            <w:szCs w:val="32"/>
            <w:u w:val="single"/>
          </w:rPr>
          <w:t>letter to Canada</w:t>
        </w:r>
      </w:hyperlink>
      <w:r w:rsidRPr="004F05FE">
        <w:rPr>
          <w:rFonts w:ascii="Cambria" w:hAnsi="Cambria"/>
          <w:color w:val="222222"/>
          <w:sz w:val="32"/>
          <w:szCs w:val="32"/>
        </w:rPr>
        <w:t xml:space="preserve"> regarding the Foley case.  </w:t>
      </w:r>
    </w:p>
    <w:p w14:paraId="227ECF71" w14:textId="77777777" w:rsidR="004F05FE" w:rsidRPr="004F05FE" w:rsidRDefault="004F05FE" w:rsidP="004F05FE">
      <w:pPr>
        <w:numPr>
          <w:ilvl w:val="4"/>
          <w:numId w:val="10"/>
        </w:numPr>
        <w:shd w:val="clear" w:color="auto" w:fill="FFFFFF"/>
        <w:spacing w:after="180"/>
        <w:ind w:left="2061"/>
        <w:textAlignment w:val="baseline"/>
        <w:rPr>
          <w:rFonts w:ascii="Cambria" w:hAnsi="Cambria"/>
          <w:color w:val="222222"/>
          <w:sz w:val="32"/>
          <w:szCs w:val="32"/>
        </w:rPr>
      </w:pPr>
      <w:r w:rsidRPr="004F05FE">
        <w:rPr>
          <w:rFonts w:ascii="Cambria" w:hAnsi="Cambria"/>
          <w:color w:val="222222"/>
          <w:sz w:val="32"/>
          <w:szCs w:val="32"/>
        </w:rPr>
        <w:t>The letter cited CRPD articles 10, 15, 16, 19, 25 and 26, as well as the rights to life and health, and General Comment No. 36 on the Right to life (which we’ll talk about a little later)</w:t>
      </w:r>
    </w:p>
    <w:p w14:paraId="75E8E4A9" w14:textId="77777777" w:rsidR="004F05FE" w:rsidRPr="004F05FE" w:rsidRDefault="004F05FE" w:rsidP="004F05FE">
      <w:pPr>
        <w:numPr>
          <w:ilvl w:val="4"/>
          <w:numId w:val="10"/>
        </w:numPr>
        <w:shd w:val="clear" w:color="auto" w:fill="FFFFFF"/>
        <w:spacing w:after="180"/>
        <w:ind w:left="2061"/>
        <w:textAlignment w:val="baseline"/>
        <w:rPr>
          <w:rFonts w:ascii="Cambria" w:hAnsi="Cambria"/>
          <w:color w:val="222222"/>
          <w:sz w:val="32"/>
          <w:szCs w:val="32"/>
        </w:rPr>
      </w:pPr>
      <w:r w:rsidRPr="004F05FE">
        <w:rPr>
          <w:rFonts w:ascii="Cambria" w:hAnsi="Cambria"/>
          <w:color w:val="222222"/>
          <w:sz w:val="32"/>
          <w:szCs w:val="32"/>
        </w:rPr>
        <w:t>In addition to information on Mr. Foley’s individual case, the letter asks for details about “the measures taken to ensure that the medical assistance in dying is provided in a way that complies with international human rights obligations, including the conditions and safeguards to prevent abuse, monitoring and reporting of detailed information about each request and intervention for medical assistance in dying.”</w:t>
      </w:r>
    </w:p>
    <w:p w14:paraId="02991398" w14:textId="77777777" w:rsidR="004F05FE" w:rsidRPr="004F05FE" w:rsidRDefault="004F05FE" w:rsidP="004F05FE">
      <w:pPr>
        <w:numPr>
          <w:ilvl w:val="4"/>
          <w:numId w:val="10"/>
        </w:numPr>
        <w:shd w:val="clear" w:color="auto" w:fill="FFFFFF"/>
        <w:spacing w:after="180"/>
        <w:ind w:left="2061"/>
        <w:textAlignment w:val="baseline"/>
        <w:rPr>
          <w:rFonts w:ascii="Cambria" w:hAnsi="Cambria"/>
          <w:color w:val="222222"/>
          <w:sz w:val="32"/>
          <w:szCs w:val="32"/>
        </w:rPr>
      </w:pPr>
      <w:r w:rsidRPr="004F05FE">
        <w:rPr>
          <w:rFonts w:ascii="Cambria" w:hAnsi="Cambria"/>
          <w:color w:val="222222"/>
          <w:sz w:val="32"/>
          <w:szCs w:val="32"/>
        </w:rPr>
        <w:t>We have no word of any response to the letter. </w:t>
      </w:r>
    </w:p>
    <w:p w14:paraId="3896AE06" w14:textId="75FDEA41" w:rsidR="00CB2A0F" w:rsidRPr="00BC4DB7" w:rsidRDefault="00CB2A0F" w:rsidP="00CB2A0F">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19</w:t>
      </w:r>
    </w:p>
    <w:p w14:paraId="45916CC9" w14:textId="77777777" w:rsidR="004F05FE" w:rsidRPr="004F05FE" w:rsidRDefault="004F05FE" w:rsidP="004F05FE">
      <w:pPr>
        <w:numPr>
          <w:ilvl w:val="1"/>
          <w:numId w:val="10"/>
        </w:numPr>
        <w:shd w:val="clear" w:color="auto" w:fill="FFFFFF"/>
        <w:spacing w:after="180"/>
        <w:ind w:left="785"/>
        <w:textAlignment w:val="baseline"/>
        <w:rPr>
          <w:rFonts w:ascii="Arial" w:hAnsi="Arial" w:cs="Arial"/>
          <w:color w:val="000000"/>
          <w:sz w:val="32"/>
          <w:szCs w:val="32"/>
        </w:rPr>
      </w:pPr>
      <w:r w:rsidRPr="004F05FE">
        <w:rPr>
          <w:rFonts w:ascii="Cambria" w:hAnsi="Cambria" w:cs="Arial"/>
          <w:b/>
          <w:bCs/>
          <w:color w:val="222222"/>
          <w:sz w:val="32"/>
          <w:szCs w:val="32"/>
        </w:rPr>
        <w:lastRenderedPageBreak/>
        <w:t>Inquiries for systemic violations</w:t>
      </w:r>
      <w:r w:rsidRPr="004F05FE">
        <w:rPr>
          <w:rFonts w:ascii="Cambria" w:hAnsi="Cambria" w:cs="Arial"/>
          <w:color w:val="222222"/>
          <w:sz w:val="32"/>
          <w:szCs w:val="32"/>
        </w:rPr>
        <w:t xml:space="preserve"> (Optional Protocol Article 6) </w:t>
      </w:r>
    </w:p>
    <w:p w14:paraId="77072832"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Reliable information that governments are violating CRPD rights</w:t>
      </w:r>
    </w:p>
    <w:p w14:paraId="689DFA73"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“Serious, grave or systematic violations.”</w:t>
      </w:r>
    </w:p>
    <w:p w14:paraId="0F9E0A63"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Committee “invites” the state party to cooperate with the inquiry. If the state party agrees, the Committee can send a representative to do an inquiry.</w:t>
      </w:r>
    </w:p>
    <w:p w14:paraId="2910C86F" w14:textId="76741DC7" w:rsidR="00CB2A0F" w:rsidRPr="00BC4DB7" w:rsidRDefault="00CB2A0F" w:rsidP="00CB2A0F">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20</w:t>
      </w:r>
    </w:p>
    <w:p w14:paraId="3D012E10" w14:textId="77777777" w:rsidR="004F05FE" w:rsidRPr="004F05FE" w:rsidRDefault="004F05FE" w:rsidP="004F05FE">
      <w:pPr>
        <w:numPr>
          <w:ilvl w:val="0"/>
          <w:numId w:val="10"/>
        </w:numPr>
        <w:shd w:val="clear" w:color="auto" w:fill="FFFFFF"/>
        <w:spacing w:after="180"/>
        <w:ind w:left="360"/>
        <w:textAlignment w:val="baseline"/>
        <w:rPr>
          <w:rFonts w:ascii="Arial" w:hAnsi="Arial" w:cs="Arial"/>
          <w:b/>
          <w:bCs/>
          <w:color w:val="222222"/>
          <w:sz w:val="32"/>
          <w:szCs w:val="32"/>
        </w:rPr>
      </w:pPr>
      <w:r w:rsidRPr="004F05FE">
        <w:rPr>
          <w:rFonts w:ascii="Cambria" w:hAnsi="Cambria" w:cs="Arial"/>
          <w:b/>
          <w:bCs/>
          <w:color w:val="222222"/>
          <w:sz w:val="32"/>
          <w:szCs w:val="32"/>
        </w:rPr>
        <w:t>Related protections in other international treaties</w:t>
      </w:r>
    </w:p>
    <w:p w14:paraId="7150FB32" w14:textId="77777777" w:rsidR="004F05FE" w:rsidRPr="004F05FE" w:rsidRDefault="004F05FE" w:rsidP="004F05FE">
      <w:pPr>
        <w:numPr>
          <w:ilvl w:val="1"/>
          <w:numId w:val="10"/>
        </w:numPr>
        <w:shd w:val="clear" w:color="auto" w:fill="FFFFFF"/>
        <w:spacing w:after="180"/>
        <w:ind w:left="785"/>
        <w:textAlignment w:val="baseline"/>
        <w:rPr>
          <w:rFonts w:ascii="Arial" w:hAnsi="Arial" w:cs="Arial"/>
          <w:b/>
          <w:bCs/>
          <w:color w:val="000000"/>
          <w:sz w:val="32"/>
          <w:szCs w:val="32"/>
        </w:rPr>
      </w:pPr>
      <w:r w:rsidRPr="004F05FE">
        <w:rPr>
          <w:rFonts w:ascii="Cambria" w:hAnsi="Cambria" w:cs="Arial"/>
          <w:b/>
          <w:bCs/>
          <w:color w:val="222222"/>
          <w:sz w:val="32"/>
          <w:szCs w:val="32"/>
        </w:rPr>
        <w:t xml:space="preserve">The </w:t>
      </w:r>
      <w:hyperlink r:id="rId18" w:history="1">
        <w:r w:rsidRPr="00BC4DB7">
          <w:rPr>
            <w:rFonts w:ascii="Cambria" w:hAnsi="Cambria" w:cs="Arial"/>
            <w:b/>
            <w:bCs/>
            <w:color w:val="1155CC"/>
            <w:sz w:val="32"/>
            <w:szCs w:val="32"/>
            <w:u w:val="single"/>
          </w:rPr>
          <w:t>Universal Declaration of Human Rights</w:t>
        </w:r>
      </w:hyperlink>
      <w:r w:rsidRPr="004F05FE">
        <w:rPr>
          <w:rFonts w:ascii="Cambria" w:hAnsi="Cambria" w:cs="Arial"/>
          <w:b/>
          <w:bCs/>
          <w:color w:val="222222"/>
          <w:sz w:val="32"/>
          <w:szCs w:val="32"/>
        </w:rPr>
        <w:t>.</w:t>
      </w:r>
    </w:p>
    <w:p w14:paraId="4AC18FC5"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rFonts w:ascii="Cambria" w:hAnsi="Cambria" w:cs="Arial"/>
          <w:color w:val="222222"/>
          <w:sz w:val="32"/>
          <w:szCs w:val="32"/>
        </w:rPr>
        <w:t xml:space="preserve">Article 3: “Everyone has the </w:t>
      </w:r>
      <w:r w:rsidRPr="004F05FE">
        <w:rPr>
          <w:rFonts w:ascii="Cambria" w:hAnsi="Cambria" w:cs="Arial"/>
          <w:b/>
          <w:bCs/>
          <w:color w:val="222222"/>
          <w:sz w:val="32"/>
          <w:szCs w:val="32"/>
        </w:rPr>
        <w:t>right to life, liberty and security of person.</w:t>
      </w:r>
      <w:r w:rsidRPr="004F05FE">
        <w:rPr>
          <w:rFonts w:ascii="Cambria" w:hAnsi="Cambria" w:cs="Arial"/>
          <w:color w:val="222222"/>
          <w:sz w:val="32"/>
          <w:szCs w:val="32"/>
        </w:rPr>
        <w:t>”</w:t>
      </w:r>
    </w:p>
    <w:p w14:paraId="7EB553E7"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color w:val="454545"/>
          <w:sz w:val="32"/>
          <w:szCs w:val="32"/>
        </w:rPr>
        <w:t xml:space="preserve">Article 5: “No one shall be subjected to torture or to </w:t>
      </w:r>
      <w:r w:rsidRPr="004F05FE">
        <w:rPr>
          <w:b/>
          <w:bCs/>
          <w:color w:val="454545"/>
          <w:sz w:val="32"/>
          <w:szCs w:val="32"/>
        </w:rPr>
        <w:t>cruel, inhuman or degrading treatment</w:t>
      </w:r>
      <w:r w:rsidRPr="004F05FE">
        <w:rPr>
          <w:color w:val="454545"/>
          <w:sz w:val="32"/>
          <w:szCs w:val="32"/>
        </w:rPr>
        <w:t xml:space="preserve"> or punishment;” This language could be invoked by the people who are suing the Province of Québec over conditions in nursing homes.</w:t>
      </w:r>
    </w:p>
    <w:p w14:paraId="0D60AEDF"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color w:val="454545"/>
          <w:sz w:val="32"/>
          <w:szCs w:val="32"/>
        </w:rPr>
        <w:t xml:space="preserve">Article 25: (1) “Everyone has the right to a </w:t>
      </w:r>
      <w:r w:rsidRPr="004F05FE">
        <w:rPr>
          <w:b/>
          <w:bCs/>
          <w:color w:val="454545"/>
          <w:sz w:val="32"/>
          <w:szCs w:val="32"/>
        </w:rPr>
        <w:t>standard of living</w:t>
      </w:r>
      <w:r w:rsidRPr="004F05FE">
        <w:rPr>
          <w:color w:val="454545"/>
          <w:sz w:val="32"/>
          <w:szCs w:val="32"/>
        </w:rPr>
        <w:t xml:space="preserve"> </w:t>
      </w:r>
      <w:r w:rsidRPr="004F05FE">
        <w:rPr>
          <w:b/>
          <w:bCs/>
          <w:color w:val="454545"/>
          <w:sz w:val="32"/>
          <w:szCs w:val="32"/>
        </w:rPr>
        <w:t>adequate for health and well-being</w:t>
      </w:r>
      <w:r w:rsidRPr="004F05FE">
        <w:rPr>
          <w:color w:val="454545"/>
          <w:sz w:val="32"/>
          <w:szCs w:val="32"/>
        </w:rPr>
        <w:t xml:space="preserve"> ... including food, clothing, housing and medical care and necessary social services, and the right to security in the event of unemployment, sickness, disability, ... old age or other lack of livelihood...”</w:t>
      </w:r>
    </w:p>
    <w:p w14:paraId="5FA75F2A" w14:textId="73359703" w:rsidR="00CB2A0F" w:rsidRPr="00BC4DB7" w:rsidRDefault="00CB2A0F" w:rsidP="00CB2A0F">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21</w:t>
      </w:r>
    </w:p>
    <w:p w14:paraId="51214E7E" w14:textId="77777777" w:rsidR="004F05FE" w:rsidRPr="004F05FE" w:rsidRDefault="004F05FE" w:rsidP="004F05FE">
      <w:pPr>
        <w:numPr>
          <w:ilvl w:val="1"/>
          <w:numId w:val="10"/>
        </w:numPr>
        <w:shd w:val="clear" w:color="auto" w:fill="FFFFFF"/>
        <w:spacing w:after="180"/>
        <w:ind w:left="785"/>
        <w:textAlignment w:val="baseline"/>
        <w:rPr>
          <w:rFonts w:ascii="Arial" w:hAnsi="Arial" w:cs="Arial"/>
          <w:color w:val="000000"/>
          <w:sz w:val="32"/>
          <w:szCs w:val="32"/>
        </w:rPr>
      </w:pPr>
      <w:r w:rsidRPr="004F05FE">
        <w:rPr>
          <w:rFonts w:ascii="Cambria" w:hAnsi="Cambria" w:cs="Arial"/>
          <w:b/>
          <w:bCs/>
          <w:color w:val="222222"/>
          <w:sz w:val="32"/>
          <w:szCs w:val="32"/>
        </w:rPr>
        <w:t xml:space="preserve">The </w:t>
      </w:r>
      <w:hyperlink r:id="rId19" w:history="1">
        <w:r w:rsidRPr="00BC4DB7">
          <w:rPr>
            <w:rFonts w:ascii="Cambria" w:hAnsi="Cambria" w:cs="Arial"/>
            <w:b/>
            <w:bCs/>
            <w:color w:val="1155CC"/>
            <w:sz w:val="32"/>
            <w:szCs w:val="32"/>
            <w:u w:val="single"/>
          </w:rPr>
          <w:t>International Covenant on Social, Economic and Cultural Rights</w:t>
        </w:r>
      </w:hyperlink>
      <w:r w:rsidRPr="004F05FE">
        <w:rPr>
          <w:rFonts w:ascii="Cambria" w:hAnsi="Cambria" w:cs="Arial"/>
          <w:color w:val="222222"/>
          <w:sz w:val="32"/>
          <w:szCs w:val="32"/>
        </w:rPr>
        <w:t>. </w:t>
      </w:r>
    </w:p>
    <w:p w14:paraId="05CD1B6F"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 xml:space="preserve">Article 9 – </w:t>
      </w:r>
      <w:r w:rsidRPr="004F05FE">
        <w:rPr>
          <w:rFonts w:ascii="Cambria" w:hAnsi="Cambria"/>
          <w:b/>
          <w:bCs/>
          <w:color w:val="222222"/>
          <w:sz w:val="32"/>
          <w:szCs w:val="32"/>
        </w:rPr>
        <w:t>Social security and social insurance</w:t>
      </w:r>
      <w:r w:rsidRPr="004F05FE">
        <w:rPr>
          <w:rFonts w:ascii="Cambria" w:hAnsi="Cambria"/>
          <w:color w:val="222222"/>
          <w:sz w:val="32"/>
          <w:szCs w:val="32"/>
        </w:rPr>
        <w:t>.</w:t>
      </w:r>
    </w:p>
    <w:p w14:paraId="28A214C4"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t xml:space="preserve">Article 11 – </w:t>
      </w:r>
      <w:r w:rsidRPr="004F05FE">
        <w:rPr>
          <w:rFonts w:ascii="Cambria" w:hAnsi="Cambria"/>
          <w:b/>
          <w:bCs/>
          <w:color w:val="222222"/>
          <w:sz w:val="32"/>
          <w:szCs w:val="32"/>
        </w:rPr>
        <w:t>Adequate standard of living</w:t>
      </w:r>
      <w:r w:rsidRPr="004F05FE">
        <w:rPr>
          <w:rFonts w:ascii="Cambria" w:hAnsi="Cambria"/>
          <w:color w:val="222222"/>
          <w:sz w:val="32"/>
          <w:szCs w:val="32"/>
        </w:rPr>
        <w:t>.</w:t>
      </w:r>
    </w:p>
    <w:p w14:paraId="6D0379D1"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222222"/>
          <w:sz w:val="32"/>
          <w:szCs w:val="32"/>
        </w:rPr>
      </w:pPr>
      <w:r w:rsidRPr="004F05FE">
        <w:rPr>
          <w:rFonts w:ascii="Cambria" w:hAnsi="Cambria"/>
          <w:color w:val="222222"/>
          <w:sz w:val="32"/>
          <w:szCs w:val="32"/>
        </w:rPr>
        <w:lastRenderedPageBreak/>
        <w:t xml:space="preserve">Article 12: “The States Parties ... recognize the right of everyone to the enjoyment of the </w:t>
      </w:r>
      <w:r w:rsidRPr="004F05FE">
        <w:rPr>
          <w:rFonts w:ascii="Cambria" w:hAnsi="Cambria"/>
          <w:b/>
          <w:bCs/>
          <w:color w:val="222222"/>
          <w:sz w:val="32"/>
          <w:szCs w:val="32"/>
        </w:rPr>
        <w:t>highest attainable standard of physical and mental health</w:t>
      </w:r>
      <w:r w:rsidRPr="004F05FE">
        <w:rPr>
          <w:rFonts w:ascii="Cambria" w:hAnsi="Cambria"/>
          <w:color w:val="222222"/>
          <w:sz w:val="32"/>
          <w:szCs w:val="32"/>
        </w:rPr>
        <w:t>.” This confers</w:t>
      </w:r>
    </w:p>
    <w:p w14:paraId="72F08CFB" w14:textId="041BDED3" w:rsidR="00754C66" w:rsidRPr="00BC4DB7" w:rsidRDefault="00754C66" w:rsidP="00754C66">
      <w:pPr>
        <w:pStyle w:val="NormalWeb"/>
        <w:numPr>
          <w:ilvl w:val="0"/>
          <w:numId w:val="10"/>
        </w:numPr>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w:t>
      </w:r>
      <w:r w:rsidR="00BC4DB7" w:rsidRPr="00BC4DB7">
        <w:rPr>
          <w:b/>
          <w:bCs/>
          <w:sz w:val="32"/>
          <w:szCs w:val="32"/>
        </w:rPr>
        <w:t>2</w:t>
      </w:r>
    </w:p>
    <w:p w14:paraId="3965463B" w14:textId="77777777" w:rsidR="004F05FE" w:rsidRPr="004F05FE" w:rsidRDefault="004F05FE" w:rsidP="004F05FE">
      <w:pPr>
        <w:numPr>
          <w:ilvl w:val="3"/>
          <w:numId w:val="10"/>
        </w:numPr>
        <w:shd w:val="clear" w:color="auto" w:fill="FFFFFF"/>
        <w:spacing w:after="180"/>
        <w:ind w:left="1701"/>
        <w:textAlignment w:val="baseline"/>
        <w:rPr>
          <w:rFonts w:ascii="Cambria" w:hAnsi="Cambria"/>
          <w:color w:val="222222"/>
          <w:sz w:val="32"/>
          <w:szCs w:val="32"/>
        </w:rPr>
      </w:pPr>
      <w:r w:rsidRPr="004F05FE">
        <w:rPr>
          <w:rFonts w:ascii="Cambria" w:hAnsi="Cambria"/>
          <w:b/>
          <w:bCs/>
          <w:color w:val="222222"/>
          <w:sz w:val="32"/>
          <w:szCs w:val="32"/>
        </w:rPr>
        <w:t>Affirmative rights</w:t>
      </w:r>
      <w:r w:rsidRPr="004F05FE">
        <w:rPr>
          <w:rFonts w:ascii="Cambria" w:hAnsi="Cambria"/>
          <w:color w:val="222222"/>
          <w:sz w:val="32"/>
          <w:szCs w:val="32"/>
        </w:rPr>
        <w:t xml:space="preserve"> – such as the right to prevention, treatment and control of disease, informed consent, and access to essential medications</w:t>
      </w:r>
    </w:p>
    <w:p w14:paraId="7D441049" w14:textId="77777777" w:rsidR="004F05FE" w:rsidRPr="004F05FE" w:rsidRDefault="004F05FE" w:rsidP="004F05FE">
      <w:pPr>
        <w:numPr>
          <w:ilvl w:val="3"/>
          <w:numId w:val="10"/>
        </w:numPr>
        <w:shd w:val="clear" w:color="auto" w:fill="FFFFFF"/>
        <w:spacing w:after="180"/>
        <w:ind w:left="1701"/>
        <w:textAlignment w:val="baseline"/>
        <w:rPr>
          <w:rFonts w:ascii="Cambria" w:hAnsi="Cambria"/>
          <w:color w:val="222222"/>
          <w:sz w:val="32"/>
          <w:szCs w:val="32"/>
        </w:rPr>
      </w:pPr>
      <w:r w:rsidRPr="004F05FE">
        <w:rPr>
          <w:rFonts w:ascii="Cambria" w:hAnsi="Cambria"/>
          <w:b/>
          <w:bCs/>
          <w:color w:val="222222"/>
          <w:sz w:val="32"/>
          <w:szCs w:val="32"/>
        </w:rPr>
        <w:t>Related rights</w:t>
      </w:r>
      <w:r w:rsidRPr="004F05FE">
        <w:rPr>
          <w:rFonts w:ascii="Cambria" w:hAnsi="Cambria"/>
          <w:color w:val="222222"/>
          <w:sz w:val="32"/>
          <w:szCs w:val="32"/>
        </w:rPr>
        <w:t xml:space="preserve"> – like safe drinking water and adequate sanitation, Food that is safe and nutritious, adequate housing (heating and cooling) and a healthy </w:t>
      </w:r>
      <w:proofErr w:type="gramStart"/>
      <w:r w:rsidRPr="004F05FE">
        <w:rPr>
          <w:rFonts w:ascii="Cambria" w:hAnsi="Cambria"/>
          <w:color w:val="222222"/>
          <w:sz w:val="32"/>
          <w:szCs w:val="32"/>
        </w:rPr>
        <w:t>environment;</w:t>
      </w:r>
      <w:proofErr w:type="gramEnd"/>
    </w:p>
    <w:p w14:paraId="3731ABF8" w14:textId="77777777" w:rsidR="004F05FE" w:rsidRPr="004F05FE" w:rsidRDefault="004F05FE" w:rsidP="004F05FE">
      <w:pPr>
        <w:numPr>
          <w:ilvl w:val="3"/>
          <w:numId w:val="10"/>
        </w:numPr>
        <w:shd w:val="clear" w:color="auto" w:fill="FFFFFF"/>
        <w:spacing w:after="180"/>
        <w:ind w:left="1701"/>
        <w:textAlignment w:val="baseline"/>
        <w:rPr>
          <w:rFonts w:ascii="Cambria" w:hAnsi="Cambria"/>
          <w:color w:val="222222"/>
          <w:sz w:val="32"/>
          <w:szCs w:val="32"/>
        </w:rPr>
      </w:pPr>
      <w:r w:rsidRPr="004F05FE">
        <w:rPr>
          <w:rFonts w:ascii="Cambria" w:hAnsi="Cambria"/>
          <w:b/>
          <w:bCs/>
          <w:color w:val="222222"/>
          <w:sz w:val="32"/>
          <w:szCs w:val="32"/>
        </w:rPr>
        <w:t>Freedoms</w:t>
      </w:r>
      <w:r w:rsidRPr="004F05FE">
        <w:rPr>
          <w:rFonts w:ascii="Cambria" w:hAnsi="Cambria"/>
          <w:color w:val="222222"/>
          <w:sz w:val="32"/>
          <w:szCs w:val="32"/>
        </w:rPr>
        <w:t xml:space="preserve"> – from unwanted medical treatment, experimentation, and from torture or cruel, degrading or inhumane treatment.</w:t>
      </w:r>
    </w:p>
    <w:p w14:paraId="079F0EDB" w14:textId="77777777" w:rsidR="004F05FE" w:rsidRPr="004F05FE" w:rsidRDefault="004F05FE" w:rsidP="004F05FE">
      <w:pPr>
        <w:numPr>
          <w:ilvl w:val="3"/>
          <w:numId w:val="10"/>
        </w:numPr>
        <w:shd w:val="clear" w:color="auto" w:fill="FFFFFF"/>
        <w:spacing w:after="180"/>
        <w:ind w:left="1701"/>
        <w:textAlignment w:val="baseline"/>
        <w:rPr>
          <w:rFonts w:ascii="Cambria" w:hAnsi="Cambria"/>
          <w:color w:val="222222"/>
          <w:sz w:val="32"/>
          <w:szCs w:val="32"/>
        </w:rPr>
      </w:pPr>
      <w:r w:rsidRPr="00BC4DB7">
        <w:rPr>
          <w:rFonts w:ascii="Cambria" w:hAnsi="Cambria"/>
          <w:color w:val="954F72"/>
          <w:sz w:val="32"/>
          <w:szCs w:val="32"/>
          <w:u w:val="single"/>
        </w:rPr>
        <w:t>Toussaint v. Canada</w:t>
      </w:r>
      <w:r w:rsidRPr="004F05FE">
        <w:rPr>
          <w:rFonts w:ascii="Cambria" w:hAnsi="Cambria"/>
          <w:color w:val="000000"/>
          <w:sz w:val="32"/>
          <w:szCs w:val="32"/>
        </w:rPr>
        <w:t xml:space="preserve"> – 2018 decision in an </w:t>
      </w:r>
      <w:proofErr w:type="spellStart"/>
      <w:r w:rsidRPr="004F05FE">
        <w:rPr>
          <w:rFonts w:ascii="Cambria" w:hAnsi="Cambria"/>
          <w:color w:val="000000"/>
          <w:sz w:val="32"/>
          <w:szCs w:val="32"/>
        </w:rPr>
        <w:t>immiagration</w:t>
      </w:r>
      <w:proofErr w:type="spellEnd"/>
      <w:r w:rsidRPr="004F05FE">
        <w:rPr>
          <w:rFonts w:ascii="Cambria" w:hAnsi="Cambria"/>
          <w:color w:val="000000"/>
          <w:sz w:val="32"/>
          <w:szCs w:val="32"/>
        </w:rPr>
        <w:t xml:space="preserve"> case where the committee ruled that </w:t>
      </w:r>
    </w:p>
    <w:p w14:paraId="7C099F27" w14:textId="77777777" w:rsidR="004F05FE" w:rsidRPr="004F05FE" w:rsidRDefault="004F05FE" w:rsidP="004F05FE">
      <w:pPr>
        <w:numPr>
          <w:ilvl w:val="4"/>
          <w:numId w:val="10"/>
        </w:numPr>
        <w:shd w:val="clear" w:color="auto" w:fill="FFFFFF"/>
        <w:spacing w:after="180"/>
        <w:ind w:left="2061"/>
        <w:textAlignment w:val="baseline"/>
        <w:rPr>
          <w:rFonts w:ascii="Cambria" w:hAnsi="Cambria"/>
          <w:color w:val="222222"/>
          <w:sz w:val="32"/>
          <w:szCs w:val="32"/>
        </w:rPr>
      </w:pPr>
      <w:r w:rsidRPr="004F05FE">
        <w:rPr>
          <w:rFonts w:ascii="Cambria" w:hAnsi="Cambria"/>
          <w:color w:val="000000"/>
          <w:sz w:val="32"/>
          <w:szCs w:val="32"/>
        </w:rPr>
        <w:t>“the right to life includes being free from acts or omissions which are intended or expected to cause unnatural or premature death and ensures the entitlement to enjoy a life with dignity.” </w:t>
      </w:r>
    </w:p>
    <w:p w14:paraId="182B92D5" w14:textId="77777777" w:rsidR="004F05FE" w:rsidRPr="004F05FE" w:rsidRDefault="004F05FE" w:rsidP="004F05FE">
      <w:pPr>
        <w:numPr>
          <w:ilvl w:val="4"/>
          <w:numId w:val="10"/>
        </w:numPr>
        <w:shd w:val="clear" w:color="auto" w:fill="FFFFFF"/>
        <w:spacing w:after="180"/>
        <w:ind w:left="2061"/>
        <w:textAlignment w:val="baseline"/>
        <w:rPr>
          <w:rFonts w:ascii="Cambria" w:hAnsi="Cambria"/>
          <w:color w:val="222222"/>
          <w:sz w:val="32"/>
          <w:szCs w:val="32"/>
        </w:rPr>
      </w:pPr>
      <w:r w:rsidRPr="004F05FE">
        <w:rPr>
          <w:rFonts w:ascii="Cambria" w:hAnsi="Cambria"/>
          <w:color w:val="000000"/>
          <w:sz w:val="32"/>
          <w:szCs w:val="32"/>
        </w:rPr>
        <w:t>It was cited in the letter from the Special Rapporteurs. </w:t>
      </w:r>
    </w:p>
    <w:p w14:paraId="5AACAC00" w14:textId="77777777" w:rsidR="004F05FE" w:rsidRPr="004F05FE" w:rsidRDefault="004F05FE" w:rsidP="004F05FE">
      <w:pPr>
        <w:numPr>
          <w:ilvl w:val="4"/>
          <w:numId w:val="10"/>
        </w:numPr>
        <w:shd w:val="clear" w:color="auto" w:fill="FFFFFF"/>
        <w:spacing w:after="180"/>
        <w:ind w:left="2061"/>
        <w:textAlignment w:val="baseline"/>
        <w:rPr>
          <w:rFonts w:ascii="Cambria" w:hAnsi="Cambria"/>
          <w:color w:val="222222"/>
          <w:sz w:val="32"/>
          <w:szCs w:val="32"/>
        </w:rPr>
      </w:pPr>
      <w:r w:rsidRPr="004F05FE">
        <w:rPr>
          <w:rFonts w:ascii="Cambria" w:hAnsi="Cambria"/>
          <w:color w:val="000000"/>
          <w:sz w:val="32"/>
          <w:szCs w:val="32"/>
        </w:rPr>
        <w:t xml:space="preserve">Requires Canada to provide access to existing healthcare services that are </w:t>
      </w:r>
      <w:r w:rsidRPr="004F05FE">
        <w:rPr>
          <w:rFonts w:ascii="Cambria" w:hAnsi="Cambria"/>
          <w:b/>
          <w:bCs/>
          <w:color w:val="000000"/>
          <w:sz w:val="32"/>
          <w:szCs w:val="32"/>
        </w:rPr>
        <w:t>reasonably available and accessible</w:t>
      </w:r>
      <w:r w:rsidRPr="004F05FE">
        <w:rPr>
          <w:rFonts w:ascii="Cambria" w:hAnsi="Cambria"/>
          <w:color w:val="000000"/>
          <w:sz w:val="32"/>
          <w:szCs w:val="32"/>
        </w:rPr>
        <w:t xml:space="preserve"> when lack of access to healthcare would expose a person to a </w:t>
      </w:r>
      <w:r w:rsidRPr="004F05FE">
        <w:rPr>
          <w:rFonts w:ascii="Cambria" w:hAnsi="Cambria"/>
          <w:b/>
          <w:bCs/>
          <w:color w:val="000000"/>
          <w:sz w:val="32"/>
          <w:szCs w:val="32"/>
        </w:rPr>
        <w:t>reasonably foreseeable risk that could result in loss of life</w:t>
      </w:r>
      <w:r w:rsidRPr="004F05FE">
        <w:rPr>
          <w:rFonts w:ascii="Cambria" w:hAnsi="Cambria"/>
          <w:color w:val="000000"/>
          <w:sz w:val="32"/>
          <w:szCs w:val="32"/>
        </w:rPr>
        <w:t>.</w:t>
      </w:r>
    </w:p>
    <w:p w14:paraId="3C3FF55B" w14:textId="33B06DD5"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23</w:t>
      </w:r>
    </w:p>
    <w:p w14:paraId="2D4F65CD" w14:textId="77777777" w:rsidR="004F05FE" w:rsidRPr="004F05FE" w:rsidRDefault="004F05FE" w:rsidP="004F05FE">
      <w:pPr>
        <w:numPr>
          <w:ilvl w:val="1"/>
          <w:numId w:val="10"/>
        </w:numPr>
        <w:shd w:val="clear" w:color="auto" w:fill="FFFFFF"/>
        <w:spacing w:after="180"/>
        <w:ind w:left="785"/>
        <w:textAlignment w:val="baseline"/>
        <w:rPr>
          <w:rFonts w:ascii="Arial" w:hAnsi="Arial" w:cs="Arial"/>
          <w:b/>
          <w:bCs/>
          <w:color w:val="000000"/>
          <w:sz w:val="32"/>
          <w:szCs w:val="32"/>
        </w:rPr>
      </w:pPr>
      <w:r w:rsidRPr="004F05FE">
        <w:rPr>
          <w:rFonts w:ascii="Cambria" w:hAnsi="Cambria" w:cs="Arial"/>
          <w:b/>
          <w:bCs/>
          <w:color w:val="222222"/>
          <w:sz w:val="32"/>
          <w:szCs w:val="32"/>
        </w:rPr>
        <w:lastRenderedPageBreak/>
        <w:t xml:space="preserve">The (2005) </w:t>
      </w:r>
      <w:hyperlink r:id="rId20" w:history="1">
        <w:r w:rsidRPr="00BC4DB7">
          <w:rPr>
            <w:rFonts w:ascii="Cambria" w:hAnsi="Cambria" w:cs="Arial"/>
            <w:b/>
            <w:bCs/>
            <w:color w:val="1155CC"/>
            <w:sz w:val="32"/>
            <w:szCs w:val="32"/>
            <w:u w:val="single"/>
          </w:rPr>
          <w:t>Universal Declaration on Bioethics and Human Rights</w:t>
        </w:r>
      </w:hyperlink>
      <w:r w:rsidRPr="004F05FE">
        <w:rPr>
          <w:rFonts w:ascii="Cambria" w:hAnsi="Cambria" w:cs="Arial"/>
          <w:b/>
          <w:bCs/>
          <w:color w:val="222222"/>
          <w:sz w:val="32"/>
          <w:szCs w:val="32"/>
        </w:rPr>
        <w:t xml:space="preserve"> UNESCO.</w:t>
      </w:r>
    </w:p>
    <w:p w14:paraId="5A012F3B"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Does not mention AS/E.  The working group decided to “use the Declaration as a general framework to guide States in the development of their legislation, policies and regulations.”</w:t>
      </w:r>
    </w:p>
    <w:p w14:paraId="7A7DC864"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Disability is mentioned among the referenced treaties and in article 24 on “international cooperation.” </w:t>
      </w:r>
    </w:p>
    <w:p w14:paraId="467D9BFD" w14:textId="77777777" w:rsidR="004F05FE" w:rsidRPr="004F05FE" w:rsidRDefault="004F05FE" w:rsidP="004F05FE">
      <w:pPr>
        <w:numPr>
          <w:ilvl w:val="3"/>
          <w:numId w:val="10"/>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t>Earlier drafts of articles 10 and 14 had lists of grounds for discrimination to be avoided, which included disability.  </w:t>
      </w:r>
    </w:p>
    <w:p w14:paraId="5BD615E5" w14:textId="77777777" w:rsidR="004F05FE" w:rsidRPr="004F05FE" w:rsidRDefault="004F05FE" w:rsidP="004F05FE">
      <w:pPr>
        <w:numPr>
          <w:ilvl w:val="3"/>
          <w:numId w:val="10"/>
        </w:numPr>
        <w:shd w:val="clear" w:color="auto" w:fill="FFFFFF"/>
        <w:spacing w:after="180"/>
        <w:ind w:left="1701"/>
        <w:textAlignment w:val="baseline"/>
        <w:rPr>
          <w:rFonts w:ascii="Cambria" w:hAnsi="Cambria"/>
          <w:color w:val="222222"/>
          <w:sz w:val="32"/>
          <w:szCs w:val="32"/>
        </w:rPr>
      </w:pPr>
      <w:r w:rsidRPr="004F05FE">
        <w:rPr>
          <w:rFonts w:ascii="Cambria" w:hAnsi="Cambria"/>
          <w:color w:val="222222"/>
          <w:sz w:val="32"/>
          <w:szCs w:val="32"/>
        </w:rPr>
        <w:t>The lists were eliminated to avoid leaving anyone out.</w:t>
      </w:r>
    </w:p>
    <w:p w14:paraId="3F12DBFE"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3 – </w:t>
      </w:r>
      <w:r w:rsidRPr="004F05FE">
        <w:rPr>
          <w:rFonts w:ascii="Cambria" w:hAnsi="Cambria"/>
          <w:b/>
          <w:bCs/>
          <w:color w:val="222222"/>
          <w:sz w:val="32"/>
          <w:szCs w:val="32"/>
        </w:rPr>
        <w:t>Human dignity and human rights</w:t>
      </w:r>
      <w:r w:rsidRPr="004F05FE">
        <w:rPr>
          <w:rFonts w:ascii="Cambria" w:hAnsi="Cambria"/>
          <w:color w:val="222222"/>
          <w:sz w:val="32"/>
          <w:szCs w:val="32"/>
        </w:rPr>
        <w:t>: adds that “the interests and welfare of the individual should have priority over the sole interest of science or society.”</w:t>
      </w:r>
    </w:p>
    <w:p w14:paraId="518E6508"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4 – Benefits should be </w:t>
      </w:r>
      <w:proofErr w:type="gramStart"/>
      <w:r w:rsidRPr="004F05FE">
        <w:rPr>
          <w:rFonts w:ascii="Cambria" w:hAnsi="Cambria"/>
          <w:color w:val="222222"/>
          <w:sz w:val="32"/>
          <w:szCs w:val="32"/>
        </w:rPr>
        <w:t>maximized,</w:t>
      </w:r>
      <w:proofErr w:type="gramEnd"/>
      <w:r w:rsidRPr="004F05FE">
        <w:rPr>
          <w:rFonts w:ascii="Cambria" w:hAnsi="Cambria"/>
          <w:color w:val="222222"/>
          <w:sz w:val="32"/>
          <w:szCs w:val="32"/>
        </w:rPr>
        <w:t xml:space="preserve"> harms should be minimized.</w:t>
      </w:r>
    </w:p>
    <w:p w14:paraId="5EC6C1DD"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5 – </w:t>
      </w:r>
      <w:r w:rsidRPr="004F05FE">
        <w:rPr>
          <w:rFonts w:ascii="Cambria" w:hAnsi="Cambria"/>
          <w:b/>
          <w:bCs/>
          <w:color w:val="222222"/>
          <w:sz w:val="32"/>
          <w:szCs w:val="32"/>
        </w:rPr>
        <w:t>Autonomy and individual responsibility</w:t>
      </w:r>
      <w:r w:rsidRPr="004F05FE">
        <w:rPr>
          <w:rFonts w:ascii="Cambria" w:hAnsi="Cambria"/>
          <w:color w:val="222222"/>
          <w:sz w:val="32"/>
          <w:szCs w:val="32"/>
        </w:rPr>
        <w:t>.</w:t>
      </w:r>
    </w:p>
    <w:p w14:paraId="0A0832F3"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6 – </w:t>
      </w:r>
      <w:r w:rsidRPr="004F05FE">
        <w:rPr>
          <w:rFonts w:ascii="Cambria" w:hAnsi="Cambria"/>
          <w:b/>
          <w:bCs/>
          <w:color w:val="222222"/>
          <w:sz w:val="32"/>
          <w:szCs w:val="32"/>
        </w:rPr>
        <w:t>Consent</w:t>
      </w:r>
    </w:p>
    <w:p w14:paraId="77974AD2"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Requires prior, free and informed consent to “preventive, diagnostic and therapeutic medical intervention;”</w:t>
      </w:r>
    </w:p>
    <w:p w14:paraId="021E637D"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“Adequate information;”</w:t>
      </w:r>
    </w:p>
    <w:p w14:paraId="62DB5600"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“may be withdrawn by the person concerned at any time and for any reason without disadvantage or prejudice.”</w:t>
      </w:r>
    </w:p>
    <w:p w14:paraId="127244BF" w14:textId="2F733C05"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24</w:t>
      </w:r>
    </w:p>
    <w:p w14:paraId="137F228F"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7 – </w:t>
      </w:r>
      <w:r w:rsidRPr="004F05FE">
        <w:rPr>
          <w:rFonts w:ascii="Cambria" w:hAnsi="Cambria"/>
          <w:b/>
          <w:bCs/>
          <w:color w:val="222222"/>
          <w:sz w:val="32"/>
          <w:szCs w:val="32"/>
        </w:rPr>
        <w:t>Persons without the capacity to consent</w:t>
      </w:r>
    </w:p>
    <w:p w14:paraId="0F5D894A"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lastRenderedPageBreak/>
        <w:t>Caveat – “in accordance with domestic law” (mentioned twice).</w:t>
      </w:r>
    </w:p>
    <w:p w14:paraId="12689E59"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“Authorization … should be attained in accordance with the best interest of the person.”</w:t>
      </w:r>
    </w:p>
    <w:p w14:paraId="528F743A"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w:t>
      </w:r>
      <w:proofErr w:type="spellStart"/>
      <w:r w:rsidRPr="004F05FE">
        <w:rPr>
          <w:rFonts w:ascii="Cambria" w:hAnsi="Cambria"/>
          <w:color w:val="222222"/>
          <w:sz w:val="32"/>
          <w:szCs w:val="32"/>
        </w:rPr>
        <w:t>T|</w:t>
      </w:r>
      <w:proofErr w:type="gramStart"/>
      <w:r w:rsidRPr="004F05FE">
        <w:rPr>
          <w:rFonts w:ascii="Cambria" w:hAnsi="Cambria"/>
          <w:color w:val="222222"/>
          <w:sz w:val="32"/>
          <w:szCs w:val="32"/>
        </w:rPr>
        <w:t>he</w:t>
      </w:r>
      <w:proofErr w:type="spellEnd"/>
      <w:proofErr w:type="gramEnd"/>
      <w:r w:rsidRPr="004F05FE">
        <w:rPr>
          <w:rFonts w:ascii="Cambria" w:hAnsi="Cambria"/>
          <w:color w:val="222222"/>
          <w:sz w:val="32"/>
          <w:szCs w:val="32"/>
        </w:rPr>
        <w:t xml:space="preserve"> person concerned should be involved to the greatest extent possible.”</w:t>
      </w:r>
    </w:p>
    <w:p w14:paraId="72D24DC0" w14:textId="08AD72BD"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25</w:t>
      </w:r>
    </w:p>
    <w:p w14:paraId="646AC23D"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8 – </w:t>
      </w:r>
      <w:r w:rsidRPr="004F05FE">
        <w:rPr>
          <w:rFonts w:ascii="Cambria" w:hAnsi="Cambria"/>
          <w:b/>
          <w:bCs/>
          <w:color w:val="222222"/>
          <w:sz w:val="32"/>
          <w:szCs w:val="32"/>
        </w:rPr>
        <w:t>Respect for human vulnerability and personal integrity.</w:t>
      </w:r>
      <w:r w:rsidRPr="004F05FE">
        <w:rPr>
          <w:rFonts w:ascii="Cambria" w:hAnsi="Cambria"/>
          <w:color w:val="222222"/>
          <w:sz w:val="32"/>
          <w:szCs w:val="32"/>
        </w:rPr>
        <w:t> </w:t>
      </w:r>
    </w:p>
    <w:p w14:paraId="6EAA90F3"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10 – </w:t>
      </w:r>
      <w:r w:rsidRPr="004F05FE">
        <w:rPr>
          <w:rFonts w:ascii="Cambria" w:hAnsi="Cambria"/>
          <w:b/>
          <w:bCs/>
          <w:color w:val="222222"/>
          <w:sz w:val="32"/>
          <w:szCs w:val="32"/>
        </w:rPr>
        <w:t>Equality, justice and equity.</w:t>
      </w:r>
    </w:p>
    <w:p w14:paraId="20879E9C"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lang w:val="fr-CA"/>
        </w:rPr>
      </w:pPr>
      <w:r w:rsidRPr="004F05FE">
        <w:rPr>
          <w:rFonts w:ascii="Cambria" w:hAnsi="Cambria"/>
          <w:color w:val="222222"/>
          <w:sz w:val="32"/>
          <w:szCs w:val="32"/>
          <w:lang w:val="fr-CA"/>
        </w:rPr>
        <w:t xml:space="preserve">Article 11 – </w:t>
      </w:r>
      <w:r w:rsidRPr="004F05FE">
        <w:rPr>
          <w:rFonts w:ascii="Cambria" w:hAnsi="Cambria"/>
          <w:b/>
          <w:bCs/>
          <w:color w:val="222222"/>
          <w:sz w:val="32"/>
          <w:szCs w:val="32"/>
          <w:lang w:val="fr-CA"/>
        </w:rPr>
        <w:t>Non-discrimination and non-</w:t>
      </w:r>
      <w:proofErr w:type="spellStart"/>
      <w:r w:rsidRPr="004F05FE">
        <w:rPr>
          <w:rFonts w:ascii="Cambria" w:hAnsi="Cambria"/>
          <w:b/>
          <w:bCs/>
          <w:color w:val="222222"/>
          <w:sz w:val="32"/>
          <w:szCs w:val="32"/>
          <w:lang w:val="fr-CA"/>
        </w:rPr>
        <w:t>stigmatization</w:t>
      </w:r>
      <w:proofErr w:type="spellEnd"/>
    </w:p>
    <w:p w14:paraId="0DDC828B"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12 – </w:t>
      </w:r>
      <w:r w:rsidRPr="004F05FE">
        <w:rPr>
          <w:rFonts w:ascii="Cambria" w:hAnsi="Cambria"/>
          <w:b/>
          <w:bCs/>
          <w:color w:val="222222"/>
          <w:sz w:val="32"/>
          <w:szCs w:val="32"/>
        </w:rPr>
        <w:t>Respect for cultural diversity and pluralism</w:t>
      </w:r>
    </w:p>
    <w:p w14:paraId="5F88C6FE"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222222"/>
          <w:sz w:val="32"/>
          <w:szCs w:val="32"/>
        </w:rPr>
        <w:t xml:space="preserve">Article 14 – </w:t>
      </w:r>
      <w:r w:rsidRPr="004F05FE">
        <w:rPr>
          <w:rFonts w:ascii="Cambria" w:hAnsi="Cambria"/>
          <w:b/>
          <w:bCs/>
          <w:color w:val="222222"/>
          <w:sz w:val="32"/>
          <w:szCs w:val="32"/>
        </w:rPr>
        <w:t>Social responsibility and health</w:t>
      </w:r>
      <w:r w:rsidRPr="004F05FE">
        <w:rPr>
          <w:rFonts w:ascii="Cambria" w:hAnsi="Cambria"/>
          <w:color w:val="222222"/>
          <w:sz w:val="32"/>
          <w:szCs w:val="32"/>
        </w:rPr>
        <w:t>, includes:</w:t>
      </w:r>
    </w:p>
    <w:p w14:paraId="1D46D677"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 xml:space="preserve">access to quality health care and essential </w:t>
      </w:r>
      <w:proofErr w:type="gramStart"/>
      <w:r w:rsidRPr="004F05FE">
        <w:rPr>
          <w:rFonts w:ascii="Cambria" w:hAnsi="Cambria"/>
          <w:color w:val="222222"/>
          <w:sz w:val="32"/>
          <w:szCs w:val="32"/>
        </w:rPr>
        <w:t>medicines;</w:t>
      </w:r>
      <w:proofErr w:type="gramEnd"/>
    </w:p>
    <w:p w14:paraId="419E650D"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 xml:space="preserve">access to adequate nutrition and </w:t>
      </w:r>
      <w:proofErr w:type="gramStart"/>
      <w:r w:rsidRPr="004F05FE">
        <w:rPr>
          <w:rFonts w:ascii="Cambria" w:hAnsi="Cambria"/>
          <w:color w:val="222222"/>
          <w:sz w:val="32"/>
          <w:szCs w:val="32"/>
        </w:rPr>
        <w:t>water;</w:t>
      </w:r>
      <w:proofErr w:type="gramEnd"/>
    </w:p>
    <w:p w14:paraId="74978B0C"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 xml:space="preserve">improvement of living conditions and the </w:t>
      </w:r>
      <w:proofErr w:type="gramStart"/>
      <w:r w:rsidRPr="004F05FE">
        <w:rPr>
          <w:rFonts w:ascii="Cambria" w:hAnsi="Cambria"/>
          <w:color w:val="222222"/>
          <w:sz w:val="32"/>
          <w:szCs w:val="32"/>
        </w:rPr>
        <w:t>environment;</w:t>
      </w:r>
      <w:proofErr w:type="gramEnd"/>
    </w:p>
    <w:p w14:paraId="74BE37B4"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 xml:space="preserve">elimination of the marginalization and the exclusion of persons on the basis of </w:t>
      </w:r>
      <w:r w:rsidRPr="004F05FE">
        <w:rPr>
          <w:rFonts w:ascii="Cambria" w:hAnsi="Cambria"/>
          <w:b/>
          <w:bCs/>
          <w:color w:val="222222"/>
          <w:sz w:val="32"/>
          <w:szCs w:val="32"/>
        </w:rPr>
        <w:t>any grounds</w:t>
      </w:r>
      <w:r w:rsidRPr="004F05FE">
        <w:rPr>
          <w:rFonts w:ascii="Cambria" w:hAnsi="Cambria"/>
          <w:color w:val="222222"/>
          <w:sz w:val="32"/>
          <w:szCs w:val="32"/>
        </w:rPr>
        <w:t xml:space="preserve"> (earlier drafts listed these grounds, including disability</w:t>
      </w:r>
      <w:proofErr w:type="gramStart"/>
      <w:r w:rsidRPr="004F05FE">
        <w:rPr>
          <w:rFonts w:ascii="Cambria" w:hAnsi="Cambria"/>
          <w:color w:val="222222"/>
          <w:sz w:val="32"/>
          <w:szCs w:val="32"/>
        </w:rPr>
        <w:t>);</w:t>
      </w:r>
      <w:proofErr w:type="gramEnd"/>
    </w:p>
    <w:p w14:paraId="406BE768"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222222"/>
          <w:sz w:val="32"/>
          <w:szCs w:val="32"/>
        </w:rPr>
        <w:t>reduction of poverty and illiteracy.</w:t>
      </w:r>
    </w:p>
    <w:p w14:paraId="01176713" w14:textId="38DA6296"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26</w:t>
      </w:r>
    </w:p>
    <w:p w14:paraId="069953BB" w14:textId="77777777" w:rsidR="004F05FE" w:rsidRPr="004F05FE" w:rsidRDefault="004F05FE" w:rsidP="004F05FE">
      <w:pPr>
        <w:numPr>
          <w:ilvl w:val="1"/>
          <w:numId w:val="10"/>
        </w:numPr>
        <w:shd w:val="clear" w:color="auto" w:fill="FFFFFF"/>
        <w:spacing w:after="180"/>
        <w:ind w:left="785"/>
        <w:textAlignment w:val="baseline"/>
        <w:rPr>
          <w:rFonts w:ascii="Arial" w:hAnsi="Arial" w:cs="Arial"/>
          <w:b/>
          <w:bCs/>
          <w:color w:val="000000"/>
          <w:sz w:val="32"/>
          <w:szCs w:val="32"/>
        </w:rPr>
      </w:pPr>
      <w:r w:rsidRPr="004F05FE">
        <w:rPr>
          <w:rFonts w:ascii="Cambria" w:hAnsi="Cambria" w:cs="Arial"/>
          <w:b/>
          <w:bCs/>
          <w:color w:val="000000"/>
          <w:sz w:val="32"/>
          <w:szCs w:val="32"/>
        </w:rPr>
        <w:t xml:space="preserve">The </w:t>
      </w:r>
      <w:hyperlink r:id="rId21" w:history="1">
        <w:r w:rsidRPr="00BC4DB7">
          <w:rPr>
            <w:rFonts w:ascii="Cambria" w:hAnsi="Cambria" w:cs="Arial"/>
            <w:b/>
            <w:bCs/>
            <w:color w:val="1155CC"/>
            <w:sz w:val="32"/>
            <w:szCs w:val="32"/>
            <w:u w:val="single"/>
          </w:rPr>
          <w:t>International Covenant on Civil and Political Rights</w:t>
        </w:r>
      </w:hyperlink>
    </w:p>
    <w:p w14:paraId="432DE355"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000000"/>
          <w:sz w:val="32"/>
          <w:szCs w:val="32"/>
        </w:rPr>
        <w:t>Article 2 § 3</w:t>
      </w:r>
      <w:r w:rsidRPr="004F05FE">
        <w:rPr>
          <w:rFonts w:ascii="Cambria" w:hAnsi="Cambria"/>
          <w:color w:val="222222"/>
          <w:sz w:val="32"/>
          <w:szCs w:val="32"/>
        </w:rPr>
        <w:t xml:space="preserve"> – “</w:t>
      </w:r>
      <w:r w:rsidRPr="004F05FE">
        <w:rPr>
          <w:rFonts w:ascii="Cambria" w:hAnsi="Cambria"/>
          <w:color w:val="000000"/>
          <w:sz w:val="32"/>
          <w:szCs w:val="32"/>
        </w:rPr>
        <w:t xml:space="preserve">States undertake (a) To ensure that any person whose rights or freedoms … are violated shall have an </w:t>
      </w:r>
      <w:r w:rsidRPr="004F05FE">
        <w:rPr>
          <w:rFonts w:ascii="Cambria" w:hAnsi="Cambria"/>
          <w:b/>
          <w:bCs/>
          <w:color w:val="000000"/>
          <w:sz w:val="32"/>
          <w:szCs w:val="32"/>
        </w:rPr>
        <w:t>effective remedy</w:t>
      </w:r>
      <w:r w:rsidRPr="004F05FE">
        <w:rPr>
          <w:rFonts w:ascii="Cambria" w:hAnsi="Cambria"/>
          <w:color w:val="000000"/>
          <w:sz w:val="32"/>
          <w:szCs w:val="32"/>
        </w:rPr>
        <w:t>,”</w:t>
      </w:r>
    </w:p>
    <w:p w14:paraId="527708C6" w14:textId="77777777" w:rsidR="004F05FE" w:rsidRPr="004F05FE" w:rsidRDefault="004F05FE" w:rsidP="004F05FE">
      <w:pPr>
        <w:numPr>
          <w:ilvl w:val="2"/>
          <w:numId w:val="10"/>
        </w:numPr>
        <w:shd w:val="clear" w:color="auto" w:fill="FFFFFF"/>
        <w:spacing w:after="180"/>
        <w:ind w:left="1216"/>
        <w:textAlignment w:val="baseline"/>
        <w:rPr>
          <w:color w:val="454545"/>
          <w:sz w:val="32"/>
          <w:szCs w:val="32"/>
        </w:rPr>
      </w:pPr>
      <w:r w:rsidRPr="004F05FE">
        <w:rPr>
          <w:rFonts w:ascii="Cambria" w:hAnsi="Cambria"/>
          <w:color w:val="000000"/>
          <w:sz w:val="32"/>
          <w:szCs w:val="32"/>
        </w:rPr>
        <w:lastRenderedPageBreak/>
        <w:t>Article 6 § 1</w:t>
      </w:r>
      <w:r w:rsidRPr="004F05FE">
        <w:rPr>
          <w:rFonts w:ascii="Cambria" w:hAnsi="Cambria"/>
          <w:color w:val="222222"/>
          <w:sz w:val="32"/>
          <w:szCs w:val="32"/>
        </w:rPr>
        <w:t xml:space="preserve"> – </w:t>
      </w:r>
      <w:r w:rsidRPr="004F05FE">
        <w:rPr>
          <w:rFonts w:ascii="Cambria" w:hAnsi="Cambria"/>
          <w:color w:val="000000"/>
          <w:sz w:val="32"/>
          <w:szCs w:val="32"/>
        </w:rPr>
        <w:t xml:space="preserve">“Every human being has the inherent </w:t>
      </w:r>
      <w:r w:rsidRPr="004F05FE">
        <w:rPr>
          <w:rFonts w:ascii="Cambria" w:hAnsi="Cambria"/>
          <w:b/>
          <w:bCs/>
          <w:color w:val="000000"/>
          <w:sz w:val="32"/>
          <w:szCs w:val="32"/>
        </w:rPr>
        <w:t>right to life</w:t>
      </w:r>
      <w:r w:rsidRPr="004F05FE">
        <w:rPr>
          <w:rFonts w:ascii="Cambria" w:hAnsi="Cambria"/>
          <w:color w:val="000000"/>
          <w:sz w:val="32"/>
          <w:szCs w:val="32"/>
        </w:rPr>
        <w:t>.” </w:t>
      </w:r>
    </w:p>
    <w:p w14:paraId="3B98660D"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000000"/>
          <w:sz w:val="32"/>
          <w:szCs w:val="32"/>
        </w:rPr>
      </w:pPr>
      <w:r w:rsidRPr="004F05FE">
        <w:rPr>
          <w:rFonts w:ascii="Cambria" w:hAnsi="Cambria"/>
          <w:color w:val="000000"/>
          <w:sz w:val="32"/>
          <w:szCs w:val="32"/>
        </w:rPr>
        <w:t>Article 7</w:t>
      </w:r>
      <w:r w:rsidRPr="004F05FE">
        <w:rPr>
          <w:rFonts w:ascii="Cambria" w:hAnsi="Cambria"/>
          <w:color w:val="222222"/>
          <w:sz w:val="32"/>
          <w:szCs w:val="32"/>
        </w:rPr>
        <w:t xml:space="preserve"> – </w:t>
      </w:r>
      <w:r w:rsidRPr="004F05FE">
        <w:rPr>
          <w:rFonts w:ascii="Cambria" w:hAnsi="Cambria"/>
          <w:color w:val="000000"/>
          <w:sz w:val="32"/>
          <w:szCs w:val="32"/>
        </w:rPr>
        <w:t xml:space="preserve">“No one shall be subjected to torture or to </w:t>
      </w:r>
      <w:r w:rsidRPr="004F05FE">
        <w:rPr>
          <w:rFonts w:ascii="Cambria" w:hAnsi="Cambria"/>
          <w:b/>
          <w:bCs/>
          <w:color w:val="000000"/>
          <w:sz w:val="32"/>
          <w:szCs w:val="32"/>
        </w:rPr>
        <w:t>cruel, inhuman or degrading treatment</w:t>
      </w:r>
      <w:r w:rsidRPr="004F05FE">
        <w:rPr>
          <w:rFonts w:ascii="Cambria" w:hAnsi="Cambria"/>
          <w:color w:val="000000"/>
          <w:sz w:val="32"/>
          <w:szCs w:val="32"/>
        </w:rPr>
        <w:t>.” </w:t>
      </w:r>
    </w:p>
    <w:p w14:paraId="608FDD8F"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000000"/>
          <w:sz w:val="32"/>
          <w:szCs w:val="32"/>
        </w:rPr>
      </w:pPr>
      <w:r w:rsidRPr="004F05FE">
        <w:rPr>
          <w:rFonts w:ascii="Cambria" w:hAnsi="Cambria"/>
          <w:color w:val="000000"/>
          <w:sz w:val="32"/>
          <w:szCs w:val="32"/>
        </w:rPr>
        <w:t>Article 9</w:t>
      </w:r>
      <w:r w:rsidRPr="004F05FE">
        <w:rPr>
          <w:rFonts w:ascii="Cambria" w:hAnsi="Cambria"/>
          <w:color w:val="222222"/>
          <w:sz w:val="32"/>
          <w:szCs w:val="32"/>
        </w:rPr>
        <w:t xml:space="preserve"> – Everyone has the right to </w:t>
      </w:r>
      <w:r w:rsidRPr="004F05FE">
        <w:rPr>
          <w:rFonts w:ascii="Cambria" w:hAnsi="Cambria"/>
          <w:b/>
          <w:bCs/>
          <w:color w:val="222222"/>
          <w:sz w:val="32"/>
          <w:szCs w:val="32"/>
        </w:rPr>
        <w:t>liberty and security</w:t>
      </w:r>
      <w:r w:rsidRPr="004F05FE">
        <w:rPr>
          <w:rFonts w:ascii="Cambria" w:hAnsi="Cambria"/>
          <w:color w:val="222222"/>
          <w:sz w:val="32"/>
          <w:szCs w:val="32"/>
        </w:rPr>
        <w:t xml:space="preserve"> of [their] person”</w:t>
      </w:r>
    </w:p>
    <w:p w14:paraId="2D04E74A" w14:textId="4F388CE4"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27</w:t>
      </w:r>
    </w:p>
    <w:p w14:paraId="0A3392D1" w14:textId="77777777" w:rsidR="004F05FE" w:rsidRPr="004F05FE" w:rsidRDefault="004F05FE" w:rsidP="004F05FE">
      <w:pPr>
        <w:numPr>
          <w:ilvl w:val="0"/>
          <w:numId w:val="10"/>
        </w:numPr>
        <w:shd w:val="clear" w:color="auto" w:fill="FFFFFF"/>
        <w:spacing w:after="180"/>
        <w:ind w:left="360"/>
        <w:textAlignment w:val="baseline"/>
        <w:rPr>
          <w:rFonts w:ascii="Arial" w:hAnsi="Arial" w:cs="Arial"/>
          <w:b/>
          <w:bCs/>
          <w:color w:val="222222"/>
          <w:sz w:val="32"/>
          <w:szCs w:val="32"/>
        </w:rPr>
      </w:pPr>
      <w:r w:rsidRPr="004F05FE">
        <w:rPr>
          <w:rFonts w:ascii="Cambria" w:hAnsi="Cambria" w:cs="Arial"/>
          <w:b/>
          <w:bCs/>
          <w:color w:val="222222"/>
          <w:sz w:val="32"/>
          <w:szCs w:val="32"/>
        </w:rPr>
        <w:t>How the right to life relates to assisted suicide and euthanasia</w:t>
      </w:r>
    </w:p>
    <w:p w14:paraId="7794038F" w14:textId="77777777" w:rsidR="004F05FE" w:rsidRPr="004F05FE" w:rsidRDefault="004F05FE" w:rsidP="004F05FE">
      <w:pPr>
        <w:numPr>
          <w:ilvl w:val="1"/>
          <w:numId w:val="10"/>
        </w:numPr>
        <w:shd w:val="clear" w:color="auto" w:fill="FFFFFF"/>
        <w:spacing w:after="180"/>
        <w:ind w:left="785"/>
        <w:textAlignment w:val="baseline"/>
        <w:rPr>
          <w:rFonts w:ascii="Arial" w:hAnsi="Arial" w:cs="Arial"/>
          <w:color w:val="000000"/>
          <w:sz w:val="32"/>
          <w:szCs w:val="32"/>
        </w:rPr>
      </w:pPr>
      <w:r w:rsidRPr="004F05FE">
        <w:rPr>
          <w:rFonts w:ascii="Cambria" w:hAnsi="Cambria" w:cs="Arial"/>
          <w:color w:val="000000"/>
          <w:sz w:val="32"/>
          <w:szCs w:val="32"/>
        </w:rPr>
        <w:t xml:space="preserve">article 6 (1) of the International Covenant on Civil and Political Rights (ICCPR), (Right to life) </w:t>
      </w:r>
      <w:r w:rsidRPr="004F05FE">
        <w:rPr>
          <w:rFonts w:ascii="Cambria" w:hAnsi="Cambria" w:cs="Arial"/>
          <w:b/>
          <w:bCs/>
          <w:color w:val="000000"/>
          <w:sz w:val="32"/>
          <w:szCs w:val="32"/>
        </w:rPr>
        <w:t>General comment No. 36</w:t>
      </w:r>
      <w:r w:rsidRPr="004F05FE">
        <w:rPr>
          <w:rFonts w:ascii="Cambria" w:hAnsi="Cambria" w:cs="Arial"/>
          <w:color w:val="000000"/>
          <w:sz w:val="32"/>
          <w:szCs w:val="32"/>
        </w:rPr>
        <w:t xml:space="preserve"> was updated in a </w:t>
      </w:r>
      <w:hyperlink r:id="rId22" w:history="1">
        <w:r w:rsidRPr="00BC4DB7">
          <w:rPr>
            <w:rFonts w:ascii="Cambria" w:hAnsi="Cambria" w:cs="Arial"/>
            <w:color w:val="1155CC"/>
            <w:sz w:val="32"/>
            <w:szCs w:val="32"/>
            <w:u w:val="single"/>
          </w:rPr>
          <w:t>process</w:t>
        </w:r>
      </w:hyperlink>
      <w:r w:rsidRPr="004F05FE">
        <w:rPr>
          <w:rFonts w:ascii="Cambria" w:hAnsi="Cambria" w:cs="Arial"/>
          <w:color w:val="000000"/>
          <w:sz w:val="32"/>
          <w:szCs w:val="32"/>
        </w:rPr>
        <w:t xml:space="preserve"> that finished in 2018</w:t>
      </w:r>
      <w:hyperlink r:id="rId23" w:history="1">
        <w:r w:rsidRPr="00BC4DB7">
          <w:rPr>
            <w:rFonts w:ascii="Cambria" w:hAnsi="Cambria" w:cs="Arial"/>
            <w:color w:val="000000"/>
            <w:sz w:val="32"/>
            <w:szCs w:val="32"/>
            <w:u w:val="single"/>
          </w:rPr>
          <w:t xml:space="preserve"> </w:t>
        </w:r>
      </w:hyperlink>
      <w:r w:rsidRPr="004F05FE">
        <w:rPr>
          <w:rFonts w:ascii="Cambria" w:hAnsi="Cambria" w:cs="Arial"/>
          <w:color w:val="000000"/>
          <w:sz w:val="32"/>
          <w:szCs w:val="32"/>
        </w:rPr>
        <w:t>with the</w:t>
      </w:r>
      <w:hyperlink r:id="rId24" w:history="1">
        <w:r w:rsidRPr="00BC4DB7">
          <w:rPr>
            <w:rFonts w:ascii="Cambria" w:hAnsi="Cambria" w:cs="Arial"/>
            <w:color w:val="1155CC"/>
            <w:sz w:val="32"/>
            <w:szCs w:val="32"/>
            <w:u w:val="single"/>
          </w:rPr>
          <w:t xml:space="preserve"> final document</w:t>
        </w:r>
      </w:hyperlink>
      <w:r w:rsidRPr="004F05FE">
        <w:rPr>
          <w:rFonts w:ascii="Cambria" w:hAnsi="Cambria" w:cs="Arial"/>
          <w:color w:val="954F72"/>
          <w:sz w:val="32"/>
          <w:szCs w:val="32"/>
          <w:u w:val="single"/>
        </w:rPr>
        <w:t>.</w:t>
      </w:r>
    </w:p>
    <w:p w14:paraId="04598887"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rFonts w:ascii="Cambria" w:hAnsi="Cambria" w:cs="Arial"/>
          <w:color w:val="000000"/>
          <w:sz w:val="32"/>
          <w:szCs w:val="32"/>
        </w:rPr>
        <w:t xml:space="preserve">TVNDY submitted comments in </w:t>
      </w:r>
      <w:proofErr w:type="gramStart"/>
      <w:r w:rsidRPr="004F05FE">
        <w:rPr>
          <w:rFonts w:ascii="Cambria" w:hAnsi="Cambria" w:cs="Arial"/>
          <w:color w:val="000000"/>
          <w:sz w:val="32"/>
          <w:szCs w:val="32"/>
        </w:rPr>
        <w:t>2017;</w:t>
      </w:r>
      <w:proofErr w:type="gramEnd"/>
    </w:p>
    <w:p w14:paraId="79D75504"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rFonts w:ascii="Cambria" w:hAnsi="Cambria" w:cs="Arial"/>
          <w:b/>
          <w:bCs/>
          <w:color w:val="000000"/>
          <w:sz w:val="32"/>
          <w:szCs w:val="32"/>
        </w:rPr>
        <w:t>Paragraph 9</w:t>
      </w:r>
      <w:r w:rsidRPr="004F05FE">
        <w:rPr>
          <w:rFonts w:ascii="Cambria" w:hAnsi="Cambria" w:cs="Arial"/>
          <w:color w:val="222222"/>
          <w:sz w:val="32"/>
          <w:szCs w:val="32"/>
        </w:rPr>
        <w:t xml:space="preserve"> – </w:t>
      </w:r>
      <w:r w:rsidRPr="004F05FE">
        <w:rPr>
          <w:rFonts w:ascii="Cambria" w:hAnsi="Cambria" w:cs="Arial"/>
          <w:color w:val="000000"/>
          <w:sz w:val="32"/>
          <w:szCs w:val="32"/>
        </w:rPr>
        <w:t>deals with assisted suicide and euthanasia: </w:t>
      </w:r>
    </w:p>
    <w:p w14:paraId="54E58093"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proofErr w:type="gramStart"/>
      <w:r w:rsidRPr="004F05FE">
        <w:rPr>
          <w:rFonts w:ascii="Cambria" w:hAnsi="Cambria"/>
          <w:color w:val="000000"/>
          <w:sz w:val="32"/>
          <w:szCs w:val="32"/>
        </w:rPr>
        <w:t>”While</w:t>
      </w:r>
      <w:proofErr w:type="gramEnd"/>
      <w:r w:rsidRPr="004F05FE">
        <w:rPr>
          <w:rFonts w:ascii="Cambria" w:hAnsi="Cambria"/>
          <w:color w:val="000000"/>
          <w:sz w:val="32"/>
          <w:szCs w:val="32"/>
        </w:rPr>
        <w:t xml:space="preserve"> acknowledging the central importance to human dignity of personal autonomy, </w:t>
      </w:r>
      <w:r w:rsidRPr="004F05FE">
        <w:rPr>
          <w:rFonts w:ascii="Cambria" w:hAnsi="Cambria"/>
          <w:b/>
          <w:bCs/>
          <w:color w:val="000000"/>
          <w:sz w:val="32"/>
          <w:szCs w:val="32"/>
        </w:rPr>
        <w:t>States should take adequate measures</w:t>
      </w:r>
      <w:r w:rsidRPr="004F05FE">
        <w:rPr>
          <w:rFonts w:ascii="Cambria" w:hAnsi="Cambria"/>
          <w:color w:val="000000"/>
          <w:sz w:val="32"/>
          <w:szCs w:val="32"/>
        </w:rPr>
        <w:t xml:space="preserve">, without violating their other Covenant obligations, </w:t>
      </w:r>
      <w:r w:rsidRPr="004F05FE">
        <w:rPr>
          <w:rFonts w:ascii="Cambria" w:hAnsi="Cambria"/>
          <w:b/>
          <w:bCs/>
          <w:color w:val="000000"/>
          <w:sz w:val="32"/>
          <w:szCs w:val="32"/>
        </w:rPr>
        <w:t>to prevent suicides</w:t>
      </w:r>
      <w:r w:rsidRPr="004F05FE">
        <w:rPr>
          <w:rFonts w:ascii="Cambria" w:hAnsi="Cambria"/>
          <w:color w:val="000000"/>
          <w:sz w:val="32"/>
          <w:szCs w:val="32"/>
        </w:rPr>
        <w:t>, especially among individuals in particularly vulnerable situations, including individuals deprived of their liberty. </w:t>
      </w:r>
    </w:p>
    <w:p w14:paraId="038266A4"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b/>
          <w:bCs/>
          <w:color w:val="000000"/>
          <w:sz w:val="32"/>
          <w:szCs w:val="32"/>
        </w:rPr>
        <w:t>States</w:t>
      </w:r>
      <w:r w:rsidRPr="004F05FE">
        <w:rPr>
          <w:rFonts w:ascii="Cambria" w:hAnsi="Cambria"/>
          <w:color w:val="000000"/>
          <w:sz w:val="32"/>
          <w:szCs w:val="32"/>
        </w:rPr>
        <w:t xml:space="preserve"> parties that allow medical professionals to provide medical treatment or the medical means in order to facilitate </w:t>
      </w:r>
      <w:r w:rsidRPr="004F05FE">
        <w:rPr>
          <w:rFonts w:ascii="Cambria" w:hAnsi="Cambria"/>
          <w:b/>
          <w:bCs/>
          <w:color w:val="000000"/>
          <w:sz w:val="32"/>
          <w:szCs w:val="32"/>
        </w:rPr>
        <w:t xml:space="preserve">the termination of life of </w:t>
      </w:r>
      <w:r w:rsidRPr="004F05FE">
        <w:rPr>
          <w:rFonts w:ascii="Cambria" w:hAnsi="Cambria"/>
          <w:color w:val="000000"/>
          <w:sz w:val="32"/>
          <w:szCs w:val="32"/>
        </w:rPr>
        <w:t>afflicted</w:t>
      </w:r>
      <w:r w:rsidRPr="004F05FE">
        <w:rPr>
          <w:rFonts w:ascii="Cambria" w:hAnsi="Cambria"/>
          <w:b/>
          <w:bCs/>
          <w:color w:val="000000"/>
          <w:sz w:val="32"/>
          <w:szCs w:val="32"/>
        </w:rPr>
        <w:t xml:space="preserve"> adults</w:t>
      </w:r>
      <w:r w:rsidRPr="004F05FE">
        <w:rPr>
          <w:rFonts w:ascii="Cambria" w:hAnsi="Cambria"/>
          <w:color w:val="000000"/>
          <w:sz w:val="32"/>
          <w:szCs w:val="32"/>
        </w:rPr>
        <w:t xml:space="preserve">, such as the terminally ill, </w:t>
      </w:r>
      <w:r w:rsidRPr="004F05FE">
        <w:rPr>
          <w:rFonts w:ascii="Cambria" w:hAnsi="Cambria"/>
          <w:b/>
          <w:bCs/>
          <w:color w:val="000000"/>
          <w:sz w:val="32"/>
          <w:szCs w:val="32"/>
        </w:rPr>
        <w:t>who experience severe physical or mental pain</w:t>
      </w:r>
      <w:r w:rsidRPr="004F05FE">
        <w:rPr>
          <w:rFonts w:ascii="Cambria" w:hAnsi="Cambria"/>
          <w:color w:val="000000"/>
          <w:sz w:val="32"/>
          <w:szCs w:val="32"/>
        </w:rPr>
        <w:t xml:space="preserve"> and suffering </w:t>
      </w:r>
      <w:r w:rsidRPr="004F05FE">
        <w:rPr>
          <w:rFonts w:ascii="Cambria" w:hAnsi="Cambria"/>
          <w:b/>
          <w:bCs/>
          <w:color w:val="000000"/>
          <w:sz w:val="32"/>
          <w:szCs w:val="32"/>
        </w:rPr>
        <w:t>and wish to die with dignity</w:t>
      </w:r>
      <w:r w:rsidRPr="004F05FE">
        <w:rPr>
          <w:rFonts w:ascii="Cambria" w:hAnsi="Cambria"/>
          <w:color w:val="000000"/>
          <w:sz w:val="32"/>
          <w:szCs w:val="32"/>
        </w:rPr>
        <w:t xml:space="preserve">, must ensure the existence of </w:t>
      </w:r>
      <w:r w:rsidRPr="004F05FE">
        <w:rPr>
          <w:rFonts w:ascii="Cambria" w:hAnsi="Cambria"/>
          <w:b/>
          <w:bCs/>
          <w:color w:val="000000"/>
          <w:sz w:val="32"/>
          <w:szCs w:val="32"/>
        </w:rPr>
        <w:t>robust legal and institutional safeguards</w:t>
      </w:r>
      <w:r w:rsidRPr="004F05FE">
        <w:rPr>
          <w:rFonts w:ascii="Cambria" w:hAnsi="Cambria"/>
          <w:color w:val="000000"/>
          <w:sz w:val="32"/>
          <w:szCs w:val="32"/>
        </w:rPr>
        <w:t xml:space="preserve"> to </w:t>
      </w:r>
      <w:r w:rsidRPr="004F05FE">
        <w:rPr>
          <w:rFonts w:ascii="Cambria" w:hAnsi="Cambria"/>
          <w:b/>
          <w:bCs/>
          <w:color w:val="000000"/>
          <w:sz w:val="32"/>
          <w:szCs w:val="32"/>
        </w:rPr>
        <w:t>verify that medical professionals are complying with the free, informed, explicit and, unambiguous decision</w:t>
      </w:r>
      <w:r w:rsidRPr="004F05FE">
        <w:rPr>
          <w:rFonts w:ascii="Cambria" w:hAnsi="Cambria"/>
          <w:color w:val="000000"/>
          <w:sz w:val="32"/>
          <w:szCs w:val="32"/>
        </w:rPr>
        <w:t xml:space="preserve"> </w:t>
      </w:r>
      <w:r w:rsidRPr="004F05FE">
        <w:rPr>
          <w:rFonts w:ascii="Cambria" w:hAnsi="Cambria"/>
          <w:color w:val="000000"/>
          <w:sz w:val="32"/>
          <w:szCs w:val="32"/>
        </w:rPr>
        <w:lastRenderedPageBreak/>
        <w:t xml:space="preserve">of their patients, with a view to </w:t>
      </w:r>
      <w:r w:rsidRPr="004F05FE">
        <w:rPr>
          <w:rFonts w:ascii="Cambria" w:hAnsi="Cambria"/>
          <w:b/>
          <w:bCs/>
          <w:color w:val="000000"/>
          <w:sz w:val="32"/>
          <w:szCs w:val="32"/>
        </w:rPr>
        <w:t>protecting patients from pressure and abuse</w:t>
      </w:r>
      <w:r w:rsidRPr="004F05FE">
        <w:rPr>
          <w:rFonts w:ascii="Cambria" w:hAnsi="Cambria"/>
          <w:color w:val="000000"/>
          <w:sz w:val="32"/>
          <w:szCs w:val="32"/>
        </w:rPr>
        <w:t>.</w:t>
      </w:r>
    </w:p>
    <w:p w14:paraId="3CA84FE2"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rFonts w:ascii="Cambria" w:hAnsi="Cambria" w:cs="Arial"/>
          <w:b/>
          <w:bCs/>
          <w:color w:val="000000"/>
          <w:sz w:val="32"/>
          <w:szCs w:val="32"/>
        </w:rPr>
        <w:t>Paragraph 24</w:t>
      </w:r>
      <w:r w:rsidRPr="004F05FE">
        <w:rPr>
          <w:rFonts w:ascii="Cambria" w:hAnsi="Cambria" w:cs="Arial"/>
          <w:color w:val="222222"/>
          <w:sz w:val="32"/>
          <w:szCs w:val="32"/>
        </w:rPr>
        <w:t xml:space="preserve"> –</w:t>
      </w:r>
      <w:r w:rsidRPr="004F05FE">
        <w:rPr>
          <w:rFonts w:ascii="Cambria" w:hAnsi="Cambria" w:cs="Arial"/>
          <w:color w:val="000000"/>
          <w:sz w:val="32"/>
          <w:szCs w:val="32"/>
        </w:rPr>
        <w:t xml:space="preserve"> Persons with disabilities are entitled to: </w:t>
      </w:r>
    </w:p>
    <w:p w14:paraId="200D74AF"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b/>
          <w:bCs/>
          <w:color w:val="000000"/>
          <w:sz w:val="32"/>
          <w:szCs w:val="32"/>
        </w:rPr>
        <w:t>Specific measures</w:t>
      </w:r>
      <w:r w:rsidRPr="004F05FE">
        <w:rPr>
          <w:rFonts w:ascii="Cambria" w:hAnsi="Cambria"/>
          <w:color w:val="000000"/>
          <w:sz w:val="32"/>
          <w:szCs w:val="32"/>
        </w:rPr>
        <w:t xml:space="preserve"> of protection </w:t>
      </w:r>
      <w:proofErr w:type="gramStart"/>
      <w:r w:rsidRPr="004F05FE">
        <w:rPr>
          <w:rFonts w:ascii="Cambria" w:hAnsi="Cambria"/>
          <w:color w:val="000000"/>
          <w:sz w:val="32"/>
          <w:szCs w:val="32"/>
        </w:rPr>
        <w:t xml:space="preserve">so as </w:t>
      </w:r>
      <w:r w:rsidRPr="004F05FE">
        <w:rPr>
          <w:rFonts w:ascii="Cambria" w:hAnsi="Cambria"/>
          <w:b/>
          <w:bCs/>
          <w:color w:val="000000"/>
          <w:sz w:val="32"/>
          <w:szCs w:val="32"/>
        </w:rPr>
        <w:t>to</w:t>
      </w:r>
      <w:proofErr w:type="gramEnd"/>
      <w:r w:rsidRPr="004F05FE">
        <w:rPr>
          <w:rFonts w:ascii="Cambria" w:hAnsi="Cambria"/>
          <w:color w:val="000000"/>
          <w:sz w:val="32"/>
          <w:szCs w:val="32"/>
        </w:rPr>
        <w:t xml:space="preserve"> </w:t>
      </w:r>
      <w:r w:rsidRPr="004F05FE">
        <w:rPr>
          <w:rFonts w:ascii="Cambria" w:hAnsi="Cambria"/>
          <w:b/>
          <w:bCs/>
          <w:color w:val="000000"/>
          <w:sz w:val="32"/>
          <w:szCs w:val="32"/>
        </w:rPr>
        <w:t>ensure their effective enjoyment of the right to life</w:t>
      </w:r>
      <w:r w:rsidRPr="004F05FE">
        <w:rPr>
          <w:rFonts w:ascii="Cambria" w:hAnsi="Cambria"/>
          <w:color w:val="000000"/>
          <w:sz w:val="32"/>
          <w:szCs w:val="32"/>
        </w:rPr>
        <w:t xml:space="preserve"> on [an] </w:t>
      </w:r>
      <w:r w:rsidRPr="004F05FE">
        <w:rPr>
          <w:rFonts w:ascii="Cambria" w:hAnsi="Cambria"/>
          <w:b/>
          <w:bCs/>
          <w:color w:val="000000"/>
          <w:sz w:val="32"/>
          <w:szCs w:val="32"/>
        </w:rPr>
        <w:t>equal basis</w:t>
      </w:r>
      <w:r w:rsidRPr="004F05FE">
        <w:rPr>
          <w:rFonts w:ascii="Cambria" w:hAnsi="Cambria"/>
          <w:color w:val="000000"/>
          <w:sz w:val="32"/>
          <w:szCs w:val="32"/>
        </w:rPr>
        <w:t xml:space="preserve"> with others. </w:t>
      </w:r>
    </w:p>
    <w:p w14:paraId="3F422069"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 xml:space="preserve">include the provision of </w:t>
      </w:r>
      <w:r w:rsidRPr="004F05FE">
        <w:rPr>
          <w:rFonts w:ascii="Cambria" w:hAnsi="Cambria"/>
          <w:b/>
          <w:bCs/>
          <w:color w:val="000000"/>
          <w:sz w:val="32"/>
          <w:szCs w:val="32"/>
        </w:rPr>
        <w:t>reasonable accommodation</w:t>
      </w:r>
      <w:r w:rsidRPr="004F05FE">
        <w:rPr>
          <w:rFonts w:ascii="Cambria" w:hAnsi="Cambria"/>
          <w:color w:val="000000"/>
          <w:sz w:val="32"/>
          <w:szCs w:val="32"/>
        </w:rPr>
        <w:t xml:space="preserve"> when necessary to ensure the right to life, such as ensuring access of persons with disabilities to </w:t>
      </w:r>
      <w:r w:rsidRPr="004F05FE">
        <w:rPr>
          <w:rFonts w:ascii="Cambria" w:hAnsi="Cambria"/>
          <w:b/>
          <w:bCs/>
          <w:color w:val="000000"/>
          <w:sz w:val="32"/>
          <w:szCs w:val="32"/>
        </w:rPr>
        <w:t>essential facilities and services.</w:t>
      </w:r>
    </w:p>
    <w:p w14:paraId="66E236E1"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rFonts w:ascii="Cambria" w:hAnsi="Cambria" w:cs="Arial"/>
          <w:b/>
          <w:bCs/>
          <w:color w:val="000000"/>
          <w:sz w:val="32"/>
          <w:szCs w:val="32"/>
        </w:rPr>
        <w:t>Paragraph 61</w:t>
      </w:r>
      <w:r w:rsidRPr="004F05FE">
        <w:rPr>
          <w:rFonts w:ascii="Cambria" w:hAnsi="Cambria" w:cs="Arial"/>
          <w:color w:val="222222"/>
          <w:sz w:val="32"/>
          <w:szCs w:val="32"/>
        </w:rPr>
        <w:t xml:space="preserve"> –</w:t>
      </w:r>
      <w:r w:rsidRPr="004F05FE">
        <w:rPr>
          <w:rFonts w:ascii="Cambria" w:hAnsi="Cambria" w:cs="Arial"/>
          <w:color w:val="000000"/>
          <w:sz w:val="32"/>
          <w:szCs w:val="32"/>
        </w:rPr>
        <w:t xml:space="preserve"> “The right to life must be respected and ensured without distinction of any kind ... including disability, and age. </w:t>
      </w:r>
    </w:p>
    <w:p w14:paraId="0F6054AC"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 xml:space="preserve">Legal protections for the right to life must </w:t>
      </w:r>
      <w:r w:rsidRPr="004F05FE">
        <w:rPr>
          <w:rFonts w:ascii="Cambria" w:hAnsi="Cambria"/>
          <w:b/>
          <w:bCs/>
          <w:color w:val="000000"/>
          <w:sz w:val="32"/>
          <w:szCs w:val="32"/>
        </w:rPr>
        <w:t>apply equally</w:t>
      </w:r>
      <w:r w:rsidRPr="004F05FE">
        <w:rPr>
          <w:rFonts w:ascii="Cambria" w:hAnsi="Cambria"/>
          <w:color w:val="000000"/>
          <w:sz w:val="32"/>
          <w:szCs w:val="32"/>
        </w:rPr>
        <w:t xml:space="preserve"> to all individuals and </w:t>
      </w:r>
      <w:r w:rsidRPr="004F05FE">
        <w:rPr>
          <w:rFonts w:ascii="Cambria" w:hAnsi="Cambria"/>
          <w:b/>
          <w:bCs/>
          <w:color w:val="000000"/>
          <w:sz w:val="32"/>
          <w:szCs w:val="32"/>
        </w:rPr>
        <w:t xml:space="preserve">provide </w:t>
      </w:r>
      <w:r w:rsidRPr="004F05FE">
        <w:rPr>
          <w:rFonts w:ascii="Cambria" w:hAnsi="Cambria"/>
          <w:color w:val="000000"/>
          <w:sz w:val="32"/>
          <w:szCs w:val="32"/>
        </w:rPr>
        <w:t xml:space="preserve">them with </w:t>
      </w:r>
      <w:r w:rsidRPr="004F05FE">
        <w:rPr>
          <w:rFonts w:ascii="Cambria" w:hAnsi="Cambria"/>
          <w:b/>
          <w:bCs/>
          <w:color w:val="000000"/>
          <w:sz w:val="32"/>
          <w:szCs w:val="32"/>
        </w:rPr>
        <w:t>effective guarantees</w:t>
      </w:r>
      <w:r w:rsidRPr="004F05FE">
        <w:rPr>
          <w:rFonts w:ascii="Cambria" w:hAnsi="Cambria"/>
          <w:color w:val="000000"/>
          <w:sz w:val="32"/>
          <w:szCs w:val="32"/>
        </w:rPr>
        <w:t xml:space="preserve"> against all forms of discrimination, including multiple and intersectional forms of discrimination. </w:t>
      </w:r>
    </w:p>
    <w:p w14:paraId="7D9CF26B"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b/>
          <w:bCs/>
          <w:color w:val="000000"/>
          <w:sz w:val="32"/>
          <w:szCs w:val="32"/>
        </w:rPr>
        <w:t>Any deprivation of life based on discrimination in law or fact is ipso facto arbitrary in nature.</w:t>
      </w:r>
      <w:r w:rsidRPr="004F05FE">
        <w:rPr>
          <w:rFonts w:ascii="Cambria" w:hAnsi="Cambria"/>
          <w:color w:val="000000"/>
          <w:sz w:val="32"/>
          <w:szCs w:val="32"/>
        </w:rPr>
        <w:t> </w:t>
      </w:r>
    </w:p>
    <w:p w14:paraId="090CEBF5" w14:textId="77777777" w:rsidR="004F05FE" w:rsidRPr="004F05FE" w:rsidRDefault="004F05FE" w:rsidP="004F05FE">
      <w:pPr>
        <w:numPr>
          <w:ilvl w:val="0"/>
          <w:numId w:val="10"/>
        </w:numPr>
        <w:shd w:val="clear" w:color="auto" w:fill="FFFFFF"/>
        <w:spacing w:after="180"/>
        <w:ind w:left="360"/>
        <w:textAlignment w:val="baseline"/>
        <w:rPr>
          <w:rFonts w:ascii="Arial" w:hAnsi="Arial" w:cs="Arial"/>
          <w:b/>
          <w:bCs/>
          <w:color w:val="222222"/>
          <w:sz w:val="32"/>
          <w:szCs w:val="32"/>
        </w:rPr>
      </w:pPr>
      <w:r w:rsidRPr="004F05FE">
        <w:rPr>
          <w:rFonts w:ascii="Cambria" w:hAnsi="Cambria" w:cs="Arial"/>
          <w:b/>
          <w:bCs/>
          <w:color w:val="222222"/>
          <w:sz w:val="32"/>
          <w:szCs w:val="32"/>
        </w:rPr>
        <w:t>Related Issues</w:t>
      </w:r>
    </w:p>
    <w:p w14:paraId="4781D833" w14:textId="272C747E"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28</w:t>
      </w:r>
    </w:p>
    <w:p w14:paraId="4FC4DDDC" w14:textId="77777777" w:rsidR="004F05FE" w:rsidRPr="004F05FE" w:rsidRDefault="004F05FE" w:rsidP="004F05FE">
      <w:pPr>
        <w:numPr>
          <w:ilvl w:val="1"/>
          <w:numId w:val="10"/>
        </w:numPr>
        <w:shd w:val="clear" w:color="auto" w:fill="FFFFFF"/>
        <w:spacing w:after="180"/>
        <w:ind w:left="785"/>
        <w:textAlignment w:val="baseline"/>
        <w:rPr>
          <w:rFonts w:ascii="Arial" w:hAnsi="Arial" w:cs="Arial"/>
          <w:color w:val="000000"/>
          <w:sz w:val="32"/>
          <w:szCs w:val="32"/>
        </w:rPr>
      </w:pPr>
      <w:r w:rsidRPr="004F05FE">
        <w:rPr>
          <w:rFonts w:ascii="Cambria" w:hAnsi="Cambria" w:cs="Arial"/>
          <w:color w:val="222222"/>
          <w:sz w:val="32"/>
          <w:szCs w:val="32"/>
        </w:rPr>
        <w:t xml:space="preserve">The </w:t>
      </w:r>
      <w:hyperlink r:id="rId25" w:history="1">
        <w:r w:rsidRPr="00BC4DB7">
          <w:rPr>
            <w:rFonts w:ascii="Cambria" w:hAnsi="Cambria" w:cs="Arial"/>
            <w:b/>
            <w:bCs/>
            <w:color w:val="1155CC"/>
            <w:sz w:val="32"/>
            <w:szCs w:val="32"/>
            <w:u w:val="single"/>
          </w:rPr>
          <w:t>Right to palliative care</w:t>
        </w:r>
      </w:hyperlink>
      <w:r w:rsidRPr="004F05FE">
        <w:rPr>
          <w:rFonts w:ascii="Cambria" w:hAnsi="Cambria" w:cs="Arial"/>
          <w:color w:val="000000"/>
          <w:sz w:val="32"/>
          <w:szCs w:val="32"/>
        </w:rPr>
        <w:t xml:space="preserve"> is not covered in any specific treaties.</w:t>
      </w:r>
    </w:p>
    <w:p w14:paraId="4E80222E"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rFonts w:ascii="Cambria" w:hAnsi="Cambria" w:cs="Arial"/>
          <w:color w:val="000000"/>
          <w:sz w:val="32"/>
          <w:szCs w:val="32"/>
        </w:rPr>
        <w:t xml:space="preserve">The </w:t>
      </w:r>
      <w:hyperlink r:id="rId26" w:history="1">
        <w:r w:rsidRPr="00BC4DB7">
          <w:rPr>
            <w:rFonts w:ascii="Cambria" w:hAnsi="Cambria" w:cs="Arial"/>
            <w:color w:val="1155CC"/>
            <w:sz w:val="32"/>
            <w:szCs w:val="32"/>
            <w:u w:val="single"/>
          </w:rPr>
          <w:t>World Health Organization</w:t>
        </w:r>
      </w:hyperlink>
      <w:r w:rsidRPr="004F05FE">
        <w:rPr>
          <w:rFonts w:ascii="Cambria" w:hAnsi="Cambria" w:cs="Arial"/>
          <w:color w:val="000000"/>
          <w:sz w:val="32"/>
          <w:szCs w:val="32"/>
        </w:rPr>
        <w:t xml:space="preserve"> definition specifies that palliative care “intends neither to hasten or postpone death;”</w:t>
      </w:r>
    </w:p>
    <w:p w14:paraId="24AC0FB6"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rFonts w:ascii="Cambria" w:hAnsi="Cambria" w:cs="Arial"/>
          <w:color w:val="222222"/>
          <w:sz w:val="32"/>
          <w:szCs w:val="32"/>
        </w:rPr>
        <w:t xml:space="preserve">Has been recognized as a component of the Right to the </w:t>
      </w:r>
      <w:r w:rsidRPr="004F05FE">
        <w:rPr>
          <w:rFonts w:ascii="Cambria" w:hAnsi="Cambria" w:cs="Arial"/>
          <w:b/>
          <w:bCs/>
          <w:color w:val="222222"/>
          <w:sz w:val="32"/>
          <w:szCs w:val="32"/>
        </w:rPr>
        <w:t xml:space="preserve">highest attainable standard of </w:t>
      </w:r>
      <w:proofErr w:type="gramStart"/>
      <w:r w:rsidRPr="004F05FE">
        <w:rPr>
          <w:rFonts w:ascii="Cambria" w:hAnsi="Cambria" w:cs="Arial"/>
          <w:b/>
          <w:bCs/>
          <w:color w:val="222222"/>
          <w:sz w:val="32"/>
          <w:szCs w:val="32"/>
        </w:rPr>
        <w:t>health</w:t>
      </w:r>
      <w:r w:rsidRPr="004F05FE">
        <w:rPr>
          <w:rFonts w:ascii="Cambria" w:hAnsi="Cambria" w:cs="Arial"/>
          <w:color w:val="222222"/>
          <w:sz w:val="32"/>
          <w:szCs w:val="32"/>
        </w:rPr>
        <w:t>;</w:t>
      </w:r>
      <w:proofErr w:type="gramEnd"/>
    </w:p>
    <w:p w14:paraId="77E37A27"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lastRenderedPageBreak/>
        <w:t>UN Committee on Economic, Social and Cultural Rights (CESCR), article 12,</w:t>
      </w:r>
      <w:hyperlink r:id="rId27" w:history="1">
        <w:r w:rsidRPr="00BC4DB7">
          <w:rPr>
            <w:rFonts w:ascii="Cambria" w:hAnsi="Cambria"/>
            <w:color w:val="000000"/>
            <w:sz w:val="32"/>
            <w:szCs w:val="32"/>
            <w:u w:val="single"/>
          </w:rPr>
          <w:t xml:space="preserve"> </w:t>
        </w:r>
        <w:r w:rsidRPr="00BC4DB7">
          <w:rPr>
            <w:rFonts w:ascii="Cambria" w:hAnsi="Cambria"/>
            <w:color w:val="954F72"/>
            <w:sz w:val="32"/>
            <w:szCs w:val="32"/>
            <w:u w:val="single"/>
          </w:rPr>
          <w:t>General Comment 14</w:t>
        </w:r>
      </w:hyperlink>
      <w:r w:rsidRPr="004F05FE">
        <w:rPr>
          <w:rFonts w:ascii="Cambria" w:hAnsi="Cambria"/>
          <w:color w:val="000000"/>
          <w:sz w:val="32"/>
          <w:szCs w:val="32"/>
        </w:rPr>
        <w:t>, The right to the highest attainable standard of health, (11 August 2000) (“States are under the obligation to respect the right to health by, inter alia, refraining from denying or limiting equal access for all persons, to preventive, curative and palliative health services”)</w:t>
      </w:r>
    </w:p>
    <w:p w14:paraId="6CD21D7B"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paragraph 43: “States parties have a core obligation to ensure the satisfaction of, at the very least, minimum essential levels of each of the rights enunciated in the Covenant, including essential primary health care, including … (d) To provide essential drugs.”</w:t>
      </w:r>
    </w:p>
    <w:p w14:paraId="53C1E680"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WHO</w:t>
      </w:r>
      <w:hyperlink r:id="rId28" w:history="1">
        <w:r w:rsidRPr="00BC4DB7">
          <w:rPr>
            <w:rFonts w:ascii="Cambria" w:hAnsi="Cambria"/>
            <w:color w:val="000000"/>
            <w:sz w:val="32"/>
            <w:szCs w:val="32"/>
            <w:u w:val="single"/>
          </w:rPr>
          <w:t xml:space="preserve"> </w:t>
        </w:r>
        <w:r w:rsidRPr="00BC4DB7">
          <w:rPr>
            <w:rFonts w:ascii="Cambria" w:hAnsi="Cambria"/>
            <w:color w:val="954F72"/>
            <w:sz w:val="32"/>
            <w:szCs w:val="32"/>
            <w:u w:val="single"/>
          </w:rPr>
          <w:t>Essential Medicines in Palliative Care</w:t>
        </w:r>
      </w:hyperlink>
      <w:r w:rsidRPr="004F05FE">
        <w:rPr>
          <w:rFonts w:ascii="Cambria" w:hAnsi="Cambria"/>
          <w:color w:val="000000"/>
          <w:sz w:val="32"/>
          <w:szCs w:val="32"/>
        </w:rPr>
        <w:t xml:space="preserve"> (1/2013) recommends Ibuprofen and </w:t>
      </w:r>
      <w:proofErr w:type="gramStart"/>
      <w:r w:rsidRPr="004F05FE">
        <w:rPr>
          <w:rFonts w:ascii="Cambria" w:hAnsi="Cambria"/>
          <w:color w:val="000000"/>
          <w:sz w:val="32"/>
          <w:szCs w:val="32"/>
        </w:rPr>
        <w:t>morphine.</w:t>
      </w:r>
      <w:proofErr w:type="gramEnd"/>
    </w:p>
    <w:p w14:paraId="50B4AF37" w14:textId="77777777" w:rsidR="004F05FE" w:rsidRPr="004F05FE" w:rsidRDefault="004F05FE" w:rsidP="004F05FE">
      <w:pPr>
        <w:numPr>
          <w:ilvl w:val="2"/>
          <w:numId w:val="10"/>
        </w:numPr>
        <w:shd w:val="clear" w:color="auto" w:fill="FFFFFF"/>
        <w:spacing w:after="180"/>
        <w:ind w:left="1216"/>
        <w:textAlignment w:val="baseline"/>
        <w:rPr>
          <w:rFonts w:ascii="Arial" w:hAnsi="Arial" w:cs="Arial"/>
          <w:color w:val="222222"/>
          <w:sz w:val="32"/>
          <w:szCs w:val="32"/>
        </w:rPr>
      </w:pPr>
      <w:r w:rsidRPr="004F05FE">
        <w:rPr>
          <w:rFonts w:ascii="Cambria" w:hAnsi="Cambria" w:cs="Arial"/>
          <w:color w:val="000000"/>
          <w:sz w:val="32"/>
          <w:szCs w:val="32"/>
        </w:rPr>
        <w:t xml:space="preserve">… and of the Right to be </w:t>
      </w:r>
      <w:r w:rsidRPr="004F05FE">
        <w:rPr>
          <w:rFonts w:ascii="Cambria" w:hAnsi="Cambria" w:cs="Arial"/>
          <w:b/>
          <w:bCs/>
          <w:color w:val="000000"/>
          <w:sz w:val="32"/>
          <w:szCs w:val="32"/>
        </w:rPr>
        <w:t>free from</w:t>
      </w:r>
      <w:r w:rsidRPr="004F05FE">
        <w:rPr>
          <w:rFonts w:ascii="Cambria" w:hAnsi="Cambria" w:cs="Arial"/>
          <w:color w:val="000000"/>
          <w:sz w:val="32"/>
          <w:szCs w:val="32"/>
        </w:rPr>
        <w:t xml:space="preserve"> </w:t>
      </w:r>
      <w:r w:rsidRPr="004F05FE">
        <w:rPr>
          <w:rFonts w:ascii="Cambria" w:hAnsi="Cambria" w:cs="Arial"/>
          <w:b/>
          <w:bCs/>
          <w:color w:val="000000"/>
          <w:sz w:val="32"/>
          <w:szCs w:val="32"/>
        </w:rPr>
        <w:t>cruel, inhuman and degrading treatment</w:t>
      </w:r>
    </w:p>
    <w:p w14:paraId="6F7DD006" w14:textId="1BACFF0A"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29</w:t>
      </w:r>
    </w:p>
    <w:p w14:paraId="3EB2AE57" w14:textId="77777777" w:rsidR="004F05FE" w:rsidRPr="004F05FE" w:rsidRDefault="004F05FE" w:rsidP="004F05FE">
      <w:pPr>
        <w:numPr>
          <w:ilvl w:val="1"/>
          <w:numId w:val="10"/>
        </w:numPr>
        <w:shd w:val="clear" w:color="auto" w:fill="FFFFFF"/>
        <w:spacing w:after="180"/>
        <w:ind w:left="785"/>
        <w:textAlignment w:val="baseline"/>
        <w:rPr>
          <w:rFonts w:ascii="Arial" w:hAnsi="Arial" w:cs="Arial"/>
          <w:color w:val="000000"/>
          <w:sz w:val="32"/>
          <w:szCs w:val="32"/>
        </w:rPr>
      </w:pPr>
      <w:r w:rsidRPr="004F05FE">
        <w:rPr>
          <w:rFonts w:ascii="Cambria" w:hAnsi="Cambria" w:cs="Arial"/>
          <w:color w:val="000000"/>
          <w:sz w:val="32"/>
          <w:szCs w:val="32"/>
        </w:rPr>
        <w:t xml:space="preserve">A </w:t>
      </w:r>
      <w:hyperlink r:id="rId29" w:history="1">
        <w:r w:rsidRPr="00BC4DB7">
          <w:rPr>
            <w:rFonts w:ascii="Cambria" w:hAnsi="Cambria" w:cs="Arial"/>
            <w:color w:val="1155CC"/>
            <w:sz w:val="32"/>
            <w:szCs w:val="32"/>
            <w:u w:val="single"/>
          </w:rPr>
          <w:t>new report</w:t>
        </w:r>
      </w:hyperlink>
      <w:r w:rsidRPr="004F05FE">
        <w:rPr>
          <w:rFonts w:ascii="Cambria" w:hAnsi="Cambria" w:cs="Arial"/>
          <w:color w:val="000000"/>
          <w:sz w:val="32"/>
          <w:szCs w:val="32"/>
        </w:rPr>
        <w:t xml:space="preserve"> from the Special Rapporteur on the Rights of persons with Disabilities is a thematic study on the </w:t>
      </w:r>
      <w:r w:rsidRPr="004F05FE">
        <w:rPr>
          <w:rFonts w:ascii="Cambria" w:hAnsi="Cambria" w:cs="Arial"/>
          <w:b/>
          <w:bCs/>
          <w:color w:val="000000"/>
          <w:sz w:val="32"/>
          <w:szCs w:val="32"/>
        </w:rPr>
        <w:t>impact of ableism in medical and scientific practice.</w:t>
      </w:r>
    </w:p>
    <w:p w14:paraId="67D725E1" w14:textId="77777777" w:rsidR="004F05FE" w:rsidRPr="004F05FE" w:rsidRDefault="00BF7D4F" w:rsidP="004F05FE">
      <w:pPr>
        <w:numPr>
          <w:ilvl w:val="2"/>
          <w:numId w:val="10"/>
        </w:numPr>
        <w:shd w:val="clear" w:color="auto" w:fill="FFFFFF"/>
        <w:spacing w:after="180"/>
        <w:ind w:left="1216"/>
        <w:textAlignment w:val="baseline"/>
        <w:rPr>
          <w:rFonts w:ascii="Cambria" w:hAnsi="Cambria"/>
          <w:color w:val="000000"/>
          <w:sz w:val="32"/>
          <w:szCs w:val="32"/>
        </w:rPr>
      </w:pPr>
      <w:hyperlink r:id="rId30" w:history="1">
        <w:r w:rsidR="004F05FE" w:rsidRPr="00BC4DB7">
          <w:rPr>
            <w:rFonts w:ascii="Cambria" w:hAnsi="Cambria"/>
            <w:color w:val="1155CC"/>
            <w:sz w:val="32"/>
            <w:szCs w:val="32"/>
            <w:u w:val="single"/>
          </w:rPr>
          <w:t>Press release</w:t>
        </w:r>
      </w:hyperlink>
      <w:r w:rsidR="004F05FE" w:rsidRPr="004F05FE">
        <w:rPr>
          <w:rFonts w:ascii="Cambria" w:hAnsi="Cambria"/>
          <w:color w:val="000000"/>
          <w:sz w:val="32"/>
          <w:szCs w:val="32"/>
        </w:rPr>
        <w:t>: New eugenics: UN disability expert warns against ‘ableism’ in medical practice </w:t>
      </w:r>
    </w:p>
    <w:p w14:paraId="43D5269E"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000000"/>
          <w:sz w:val="32"/>
          <w:szCs w:val="32"/>
        </w:rPr>
      </w:pPr>
      <w:r w:rsidRPr="004F05FE">
        <w:rPr>
          <w:rFonts w:ascii="Cambria" w:hAnsi="Cambria"/>
          <w:color w:val="000000"/>
          <w:sz w:val="32"/>
          <w:szCs w:val="32"/>
        </w:rPr>
        <w:t>Paragraphs 35:  Withholding and withdrawing treatment.</w:t>
      </w:r>
    </w:p>
    <w:p w14:paraId="63375B3B"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000000"/>
          <w:sz w:val="32"/>
          <w:szCs w:val="32"/>
        </w:rPr>
      </w:pPr>
      <w:r w:rsidRPr="004F05FE">
        <w:rPr>
          <w:rFonts w:ascii="Cambria" w:hAnsi="Cambria"/>
          <w:color w:val="000000"/>
          <w:sz w:val="32"/>
          <w:szCs w:val="32"/>
        </w:rPr>
        <w:t>Paragraphs 36-38: AS/E: maybe for terminal illness, not for disability.</w:t>
      </w:r>
    </w:p>
    <w:p w14:paraId="5DB3CC7C"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37: “From a disability rights perspective, there is a grave concern that legalizing euthanasia and assisted suicide could put at risk the lives of persons with disabilities.”</w:t>
      </w:r>
    </w:p>
    <w:p w14:paraId="55B89A05"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lastRenderedPageBreak/>
        <w:t>“...[M]any disability rights advocates also oppose assisted dying in terminally ill contexts, as they fear it will put at risk persons with new or progressive disabilities or diseases, who may be mistakenly diagnosed as terminally ill but who have many years of life ahead of them.”</w:t>
      </w:r>
    </w:p>
    <w:p w14:paraId="25F99E04"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000000"/>
          <w:sz w:val="32"/>
          <w:szCs w:val="32"/>
        </w:rPr>
      </w:pPr>
      <w:r w:rsidRPr="004F05FE">
        <w:rPr>
          <w:rFonts w:ascii="Cambria" w:hAnsi="Cambria"/>
          <w:color w:val="000000"/>
          <w:sz w:val="32"/>
          <w:szCs w:val="32"/>
        </w:rPr>
        <w:t>Paragraph 73 “... [E]</w:t>
      </w:r>
      <w:proofErr w:type="spellStart"/>
      <w:r w:rsidRPr="004F05FE">
        <w:rPr>
          <w:rFonts w:ascii="Cambria" w:hAnsi="Cambria"/>
          <w:color w:val="000000"/>
          <w:sz w:val="32"/>
          <w:szCs w:val="32"/>
        </w:rPr>
        <w:t>ugenic</w:t>
      </w:r>
      <w:proofErr w:type="spellEnd"/>
      <w:r w:rsidRPr="004F05FE">
        <w:rPr>
          <w:rFonts w:ascii="Cambria" w:hAnsi="Cambria"/>
          <w:color w:val="000000"/>
          <w:sz w:val="32"/>
          <w:szCs w:val="32"/>
        </w:rPr>
        <w:t xml:space="preserve"> aspirations persist in current debates related to medical and scientific practice concerning disability, such as … assisted dying.”</w:t>
      </w:r>
    </w:p>
    <w:p w14:paraId="56C0D73B" w14:textId="29C3FD31"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30</w:t>
      </w:r>
    </w:p>
    <w:p w14:paraId="742FBE04" w14:textId="77777777" w:rsidR="004F05FE" w:rsidRPr="004F05FE" w:rsidRDefault="004F05FE" w:rsidP="004F05FE">
      <w:pPr>
        <w:numPr>
          <w:ilvl w:val="2"/>
          <w:numId w:val="10"/>
        </w:numPr>
        <w:shd w:val="clear" w:color="auto" w:fill="FFFFFF"/>
        <w:spacing w:after="180"/>
        <w:ind w:left="1216"/>
        <w:textAlignment w:val="baseline"/>
        <w:rPr>
          <w:rFonts w:ascii="Cambria" w:hAnsi="Cambria"/>
          <w:color w:val="000000"/>
          <w:sz w:val="32"/>
          <w:szCs w:val="32"/>
        </w:rPr>
      </w:pPr>
      <w:r w:rsidRPr="004F05FE">
        <w:rPr>
          <w:rFonts w:ascii="Cambria" w:hAnsi="Cambria"/>
          <w:color w:val="000000"/>
          <w:sz w:val="32"/>
          <w:szCs w:val="32"/>
        </w:rPr>
        <w:t>Paragraph 70: “If assisted dying is to be permitted, it must be accompanied by strong measures to protect the right to life of persons with disabilities.</w:t>
      </w:r>
    </w:p>
    <w:p w14:paraId="669992FE"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“First, access to assisted dying should be restricted to those who are at the end of life; having an impairment should never be a reason for assisted dying to be permitted. </w:t>
      </w:r>
    </w:p>
    <w:p w14:paraId="2CA8F7B6"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“Second, the free and informed consent of persons with disabilities must be secured on all matters relating to assisted dying and all forms of pressure and undue influence prevented. </w:t>
      </w:r>
    </w:p>
    <w:p w14:paraId="6933C7FF"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“Third, access to appropriate palliative care, rights-based support, home care and other social measures must be guaranteed; decisions about assisted death should not be made because life has been made unbearable through lack of choices and control. </w:t>
      </w:r>
    </w:p>
    <w:p w14:paraId="028C7B66"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t>“Fourth, accurate information about the prognosis and availability of peer-support counselling must be provided. </w:t>
      </w:r>
    </w:p>
    <w:p w14:paraId="6266B1E6" w14:textId="77777777" w:rsidR="004F05FE" w:rsidRPr="004F05FE" w:rsidRDefault="004F05FE" w:rsidP="004F05FE">
      <w:pPr>
        <w:numPr>
          <w:ilvl w:val="3"/>
          <w:numId w:val="10"/>
        </w:numPr>
        <w:shd w:val="clear" w:color="auto" w:fill="FFFFFF"/>
        <w:spacing w:after="180"/>
        <w:ind w:left="1636"/>
        <w:textAlignment w:val="baseline"/>
        <w:rPr>
          <w:rFonts w:ascii="Cambria" w:hAnsi="Cambria"/>
          <w:color w:val="222222"/>
          <w:sz w:val="32"/>
          <w:szCs w:val="32"/>
        </w:rPr>
      </w:pPr>
      <w:r w:rsidRPr="004F05FE">
        <w:rPr>
          <w:rFonts w:ascii="Cambria" w:hAnsi="Cambria"/>
          <w:color w:val="000000"/>
          <w:sz w:val="32"/>
          <w:szCs w:val="32"/>
        </w:rPr>
        <w:lastRenderedPageBreak/>
        <w:t>“Fifth, accountability regulations must be established requiring collection and reporting of detailed information about each request and intervention for assistance in dying.</w:t>
      </w:r>
    </w:p>
    <w:p w14:paraId="5ED4FE17" w14:textId="1561F34D" w:rsidR="00BC4DB7" w:rsidRPr="00BC4DB7" w:rsidRDefault="00BC4DB7" w:rsidP="00BC4DB7">
      <w:pPr>
        <w:pStyle w:val="NormalWeb"/>
        <w:shd w:val="clear" w:color="auto" w:fill="FFFFFF"/>
        <w:spacing w:before="0" w:beforeAutospacing="0" w:after="200" w:afterAutospacing="0"/>
        <w:contextualSpacing/>
        <w:textAlignment w:val="baseline"/>
        <w:rPr>
          <w:b/>
          <w:bCs/>
          <w:sz w:val="32"/>
          <w:szCs w:val="32"/>
        </w:rPr>
      </w:pPr>
      <w:r w:rsidRPr="00BC4DB7">
        <w:rPr>
          <w:b/>
          <w:bCs/>
          <w:color w:val="C00000"/>
          <w:sz w:val="32"/>
          <w:szCs w:val="32"/>
        </w:rPr>
        <w:t>Next slide:</w:t>
      </w:r>
      <w:r w:rsidRPr="00BC4DB7">
        <w:rPr>
          <w:b/>
          <w:bCs/>
          <w:sz w:val="32"/>
          <w:szCs w:val="32"/>
        </w:rPr>
        <w:t xml:space="preserve"> 31</w:t>
      </w:r>
    </w:p>
    <w:p w14:paraId="18C3A717" w14:textId="77777777" w:rsidR="004F05FE" w:rsidRPr="004F05FE" w:rsidRDefault="004F05FE" w:rsidP="004F05FE">
      <w:pPr>
        <w:numPr>
          <w:ilvl w:val="0"/>
          <w:numId w:val="10"/>
        </w:numPr>
        <w:shd w:val="clear" w:color="auto" w:fill="FFFFFF"/>
        <w:spacing w:after="180"/>
        <w:ind w:left="360"/>
        <w:textAlignment w:val="baseline"/>
        <w:rPr>
          <w:rFonts w:ascii="Arial" w:hAnsi="Arial" w:cs="Arial"/>
          <w:b/>
          <w:bCs/>
          <w:color w:val="222222"/>
          <w:sz w:val="32"/>
          <w:szCs w:val="32"/>
        </w:rPr>
      </w:pPr>
      <w:r w:rsidRPr="004F05FE">
        <w:rPr>
          <w:rFonts w:ascii="Cambria" w:hAnsi="Cambria" w:cs="Arial"/>
          <w:b/>
          <w:bCs/>
          <w:color w:val="000000"/>
          <w:sz w:val="32"/>
          <w:szCs w:val="32"/>
        </w:rPr>
        <w:t>For more information</w:t>
      </w:r>
    </w:p>
    <w:p w14:paraId="24EDE25E" w14:textId="77777777" w:rsidR="004F05FE" w:rsidRPr="004F05FE" w:rsidRDefault="00BF7D4F" w:rsidP="004F05FE">
      <w:pPr>
        <w:numPr>
          <w:ilvl w:val="1"/>
          <w:numId w:val="10"/>
        </w:numPr>
        <w:shd w:val="clear" w:color="auto" w:fill="FFFFFF"/>
        <w:spacing w:after="180"/>
        <w:ind w:left="785"/>
        <w:textAlignment w:val="baseline"/>
        <w:rPr>
          <w:rFonts w:ascii="Arial" w:hAnsi="Arial" w:cs="Arial"/>
          <w:color w:val="000000"/>
          <w:sz w:val="32"/>
          <w:szCs w:val="32"/>
        </w:rPr>
      </w:pPr>
      <w:hyperlink r:id="rId31" w:history="1">
        <w:r w:rsidR="004F05FE" w:rsidRPr="00BC4DB7">
          <w:rPr>
            <w:rFonts w:ascii="Cambria" w:hAnsi="Cambria" w:cs="Arial"/>
            <w:color w:val="1155CC"/>
            <w:sz w:val="32"/>
            <w:szCs w:val="32"/>
            <w:u w:val="single"/>
          </w:rPr>
          <w:t>Facebook.com/</w:t>
        </w:r>
        <w:proofErr w:type="spellStart"/>
        <w:r w:rsidR="004F05FE" w:rsidRPr="00BC4DB7">
          <w:rPr>
            <w:rFonts w:ascii="Cambria" w:hAnsi="Cambria" w:cs="Arial"/>
            <w:color w:val="1155CC"/>
            <w:sz w:val="32"/>
            <w:szCs w:val="32"/>
            <w:u w:val="single"/>
          </w:rPr>
          <w:t>toujoursvivantnotdeadyet</w:t>
        </w:r>
        <w:proofErr w:type="spellEnd"/>
      </w:hyperlink>
      <w:r w:rsidR="004F05FE" w:rsidRPr="004F05FE">
        <w:rPr>
          <w:rFonts w:ascii="Cambria" w:hAnsi="Cambria" w:cs="Arial"/>
          <w:color w:val="000000"/>
          <w:sz w:val="32"/>
          <w:szCs w:val="32"/>
        </w:rPr>
        <w:t>.</w:t>
      </w:r>
    </w:p>
    <w:p w14:paraId="5511EECA" w14:textId="77777777" w:rsidR="004F05FE" w:rsidRPr="004F05FE" w:rsidRDefault="004F05FE" w:rsidP="004F05FE">
      <w:pPr>
        <w:numPr>
          <w:ilvl w:val="1"/>
          <w:numId w:val="10"/>
        </w:numPr>
        <w:shd w:val="clear" w:color="auto" w:fill="FFFFFF"/>
        <w:spacing w:after="180"/>
        <w:ind w:left="785"/>
        <w:textAlignment w:val="baseline"/>
        <w:rPr>
          <w:rFonts w:ascii="Arial" w:hAnsi="Arial" w:cs="Arial"/>
          <w:color w:val="000000"/>
          <w:sz w:val="32"/>
          <w:szCs w:val="32"/>
        </w:rPr>
      </w:pPr>
      <w:r w:rsidRPr="004F05FE">
        <w:rPr>
          <w:rFonts w:ascii="Cambria" w:hAnsi="Cambria" w:cs="Arial"/>
          <w:color w:val="000000"/>
          <w:sz w:val="32"/>
          <w:szCs w:val="32"/>
        </w:rPr>
        <w:t xml:space="preserve">Website – </w:t>
      </w:r>
      <w:hyperlink r:id="rId32" w:history="1">
        <w:r w:rsidRPr="00BC4DB7">
          <w:rPr>
            <w:rFonts w:ascii="Cambria" w:hAnsi="Cambria" w:cs="Arial"/>
            <w:color w:val="1155CC"/>
            <w:sz w:val="32"/>
            <w:szCs w:val="32"/>
            <w:u w:val="single"/>
          </w:rPr>
          <w:t>tvndy.ca</w:t>
        </w:r>
      </w:hyperlink>
      <w:r w:rsidRPr="004F05FE">
        <w:rPr>
          <w:rFonts w:ascii="Cambria" w:hAnsi="Cambria" w:cs="Arial"/>
          <w:color w:val="000000"/>
          <w:sz w:val="32"/>
          <w:szCs w:val="32"/>
        </w:rPr>
        <w:t>.</w:t>
      </w:r>
    </w:p>
    <w:p w14:paraId="2C028F87" w14:textId="77777777" w:rsidR="004F05FE" w:rsidRPr="004F05FE" w:rsidRDefault="004F05FE" w:rsidP="004F05FE">
      <w:pPr>
        <w:numPr>
          <w:ilvl w:val="1"/>
          <w:numId w:val="10"/>
        </w:numPr>
        <w:shd w:val="clear" w:color="auto" w:fill="FFFFFF"/>
        <w:spacing w:after="180"/>
        <w:ind w:left="785"/>
        <w:textAlignment w:val="baseline"/>
        <w:rPr>
          <w:rFonts w:ascii="Arial" w:hAnsi="Arial" w:cs="Arial"/>
          <w:color w:val="000000"/>
          <w:sz w:val="32"/>
          <w:szCs w:val="32"/>
        </w:rPr>
      </w:pPr>
      <w:r w:rsidRPr="004F05FE">
        <w:rPr>
          <w:rFonts w:ascii="Cambria" w:hAnsi="Cambria" w:cs="Arial"/>
          <w:color w:val="000000"/>
          <w:sz w:val="32"/>
          <w:szCs w:val="32"/>
        </w:rPr>
        <w:t>Email – info@tv-ndy.ca.</w:t>
      </w:r>
    </w:p>
    <w:p w14:paraId="79490734" w14:textId="77777777" w:rsidR="004F05FE" w:rsidRPr="004F05FE" w:rsidRDefault="004F05FE" w:rsidP="004F05FE">
      <w:pPr>
        <w:numPr>
          <w:ilvl w:val="1"/>
          <w:numId w:val="10"/>
        </w:numPr>
        <w:shd w:val="clear" w:color="auto" w:fill="FFFFFF"/>
        <w:spacing w:after="180"/>
        <w:ind w:left="785"/>
        <w:textAlignment w:val="baseline"/>
        <w:rPr>
          <w:rFonts w:ascii="Arial" w:hAnsi="Arial" w:cs="Arial"/>
          <w:color w:val="000000"/>
          <w:sz w:val="32"/>
          <w:szCs w:val="32"/>
        </w:rPr>
      </w:pPr>
      <w:r w:rsidRPr="004F05FE">
        <w:rPr>
          <w:rFonts w:ascii="Cambria" w:hAnsi="Cambria" w:cs="Arial"/>
          <w:color w:val="000000"/>
          <w:sz w:val="32"/>
          <w:szCs w:val="32"/>
        </w:rPr>
        <w:t>Twitter – @</w:t>
      </w:r>
      <w:proofErr w:type="spellStart"/>
      <w:r w:rsidRPr="004F05FE">
        <w:rPr>
          <w:rFonts w:ascii="Cambria" w:hAnsi="Cambria" w:cs="Arial"/>
          <w:color w:val="000000"/>
          <w:sz w:val="32"/>
          <w:szCs w:val="32"/>
        </w:rPr>
        <w:t>tvndy</w:t>
      </w:r>
      <w:proofErr w:type="spellEnd"/>
      <w:r w:rsidRPr="004F05FE">
        <w:rPr>
          <w:rFonts w:ascii="Cambria" w:hAnsi="Cambria" w:cs="Arial"/>
          <w:color w:val="000000"/>
          <w:sz w:val="32"/>
          <w:szCs w:val="32"/>
        </w:rPr>
        <w:t>.</w:t>
      </w:r>
    </w:p>
    <w:p w14:paraId="1E3DB1B2" w14:textId="77777777" w:rsidR="004F05FE" w:rsidRPr="00BC4DB7" w:rsidRDefault="004F05FE" w:rsidP="004F05FE">
      <w:pPr>
        <w:spacing w:after="180"/>
        <w:rPr>
          <w:sz w:val="32"/>
          <w:szCs w:val="32"/>
        </w:rPr>
      </w:pPr>
    </w:p>
    <w:sectPr w:rsidR="004F05FE" w:rsidRPr="00BC4D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0A7B"/>
    <w:multiLevelType w:val="multilevel"/>
    <w:tmpl w:val="5AB0A46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52F3E"/>
    <w:multiLevelType w:val="multilevel"/>
    <w:tmpl w:val="40BA7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10EDB"/>
    <w:multiLevelType w:val="hybridMultilevel"/>
    <w:tmpl w:val="3822D962"/>
    <w:lvl w:ilvl="0" w:tplc="10090001">
      <w:start w:val="1"/>
      <w:numFmt w:val="bullet"/>
      <w:lvlText w:val=""/>
      <w:lvlJc w:val="left"/>
      <w:pPr>
        <w:ind w:left="1216" w:hanging="360"/>
      </w:pPr>
      <w:rPr>
        <w:rFonts w:ascii="Symbol" w:hAnsi="Symbol" w:hint="default"/>
      </w:rPr>
    </w:lvl>
    <w:lvl w:ilvl="1" w:tplc="10090003" w:tentative="1">
      <w:start w:val="1"/>
      <w:numFmt w:val="bullet"/>
      <w:lvlText w:val="o"/>
      <w:lvlJc w:val="left"/>
      <w:pPr>
        <w:ind w:left="1936" w:hanging="360"/>
      </w:pPr>
      <w:rPr>
        <w:rFonts w:ascii="Courier New" w:hAnsi="Courier New" w:cs="Courier New" w:hint="default"/>
      </w:rPr>
    </w:lvl>
    <w:lvl w:ilvl="2" w:tplc="10090005" w:tentative="1">
      <w:start w:val="1"/>
      <w:numFmt w:val="bullet"/>
      <w:lvlText w:val=""/>
      <w:lvlJc w:val="left"/>
      <w:pPr>
        <w:ind w:left="2656" w:hanging="360"/>
      </w:pPr>
      <w:rPr>
        <w:rFonts w:ascii="Wingdings" w:hAnsi="Wingdings" w:hint="default"/>
      </w:rPr>
    </w:lvl>
    <w:lvl w:ilvl="3" w:tplc="10090001" w:tentative="1">
      <w:start w:val="1"/>
      <w:numFmt w:val="bullet"/>
      <w:lvlText w:val=""/>
      <w:lvlJc w:val="left"/>
      <w:pPr>
        <w:ind w:left="3376" w:hanging="360"/>
      </w:pPr>
      <w:rPr>
        <w:rFonts w:ascii="Symbol" w:hAnsi="Symbol" w:hint="default"/>
      </w:rPr>
    </w:lvl>
    <w:lvl w:ilvl="4" w:tplc="10090003" w:tentative="1">
      <w:start w:val="1"/>
      <w:numFmt w:val="bullet"/>
      <w:lvlText w:val="o"/>
      <w:lvlJc w:val="left"/>
      <w:pPr>
        <w:ind w:left="4096" w:hanging="360"/>
      </w:pPr>
      <w:rPr>
        <w:rFonts w:ascii="Courier New" w:hAnsi="Courier New" w:cs="Courier New" w:hint="default"/>
      </w:rPr>
    </w:lvl>
    <w:lvl w:ilvl="5" w:tplc="10090005" w:tentative="1">
      <w:start w:val="1"/>
      <w:numFmt w:val="bullet"/>
      <w:lvlText w:val=""/>
      <w:lvlJc w:val="left"/>
      <w:pPr>
        <w:ind w:left="4816" w:hanging="360"/>
      </w:pPr>
      <w:rPr>
        <w:rFonts w:ascii="Wingdings" w:hAnsi="Wingdings" w:hint="default"/>
      </w:rPr>
    </w:lvl>
    <w:lvl w:ilvl="6" w:tplc="10090001" w:tentative="1">
      <w:start w:val="1"/>
      <w:numFmt w:val="bullet"/>
      <w:lvlText w:val=""/>
      <w:lvlJc w:val="left"/>
      <w:pPr>
        <w:ind w:left="5536" w:hanging="360"/>
      </w:pPr>
      <w:rPr>
        <w:rFonts w:ascii="Symbol" w:hAnsi="Symbol" w:hint="default"/>
      </w:rPr>
    </w:lvl>
    <w:lvl w:ilvl="7" w:tplc="10090003" w:tentative="1">
      <w:start w:val="1"/>
      <w:numFmt w:val="bullet"/>
      <w:lvlText w:val="o"/>
      <w:lvlJc w:val="left"/>
      <w:pPr>
        <w:ind w:left="6256" w:hanging="360"/>
      </w:pPr>
      <w:rPr>
        <w:rFonts w:ascii="Courier New" w:hAnsi="Courier New" w:cs="Courier New" w:hint="default"/>
      </w:rPr>
    </w:lvl>
    <w:lvl w:ilvl="8" w:tplc="10090005" w:tentative="1">
      <w:start w:val="1"/>
      <w:numFmt w:val="bullet"/>
      <w:lvlText w:val=""/>
      <w:lvlJc w:val="left"/>
      <w:pPr>
        <w:ind w:left="6976" w:hanging="360"/>
      </w:pPr>
      <w:rPr>
        <w:rFonts w:ascii="Wingdings" w:hAnsi="Wingdings" w:hint="default"/>
      </w:rPr>
    </w:lvl>
  </w:abstractNum>
  <w:abstractNum w:abstractNumId="3" w15:restartNumberingAfterBreak="0">
    <w:nsid w:val="4B413798"/>
    <w:multiLevelType w:val="multilevel"/>
    <w:tmpl w:val="EFC87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A5798"/>
    <w:multiLevelType w:val="multilevel"/>
    <w:tmpl w:val="58A0570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8"/>
        <w:szCs w:val="28"/>
      </w:rPr>
    </w:lvl>
    <w:lvl w:ilvl="3">
      <w:start w:val="1"/>
      <w:numFmt w:val="bullet"/>
      <w:lvlText w:val="o"/>
      <w:lvlJc w:val="left"/>
      <w:pPr>
        <w:tabs>
          <w:tab w:val="num" w:pos="1211"/>
        </w:tabs>
        <w:ind w:left="1211" w:hanging="360"/>
      </w:pPr>
      <w:rPr>
        <w:rFonts w:ascii="Courier New" w:hAnsi="Courier New" w:cs="Courier New" w:hint="default"/>
        <w:sz w:val="28"/>
        <w:szCs w:val="28"/>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9244C"/>
    <w:multiLevelType w:val="hybridMultilevel"/>
    <w:tmpl w:val="40FEB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29708C"/>
    <w:multiLevelType w:val="hybridMultilevel"/>
    <w:tmpl w:val="DED4FC46"/>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7" w15:restartNumberingAfterBreak="0">
    <w:nsid w:val="7B164289"/>
    <w:multiLevelType w:val="hybridMultilevel"/>
    <w:tmpl w:val="71F8D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3">
      <w:lvl w:ilvl="3">
        <w:numFmt w:val="bullet"/>
        <w:lvlText w:val=""/>
        <w:lvlJc w:val="left"/>
        <w:pPr>
          <w:tabs>
            <w:tab w:val="num" w:pos="2880"/>
          </w:tabs>
          <w:ind w:left="2880" w:hanging="360"/>
        </w:pPr>
        <w:rPr>
          <w:rFonts w:ascii="Symbol" w:hAnsi="Symbol" w:hint="default"/>
          <w:sz w:val="20"/>
        </w:rPr>
      </w:lvl>
    </w:lvlOverride>
  </w:num>
  <w:num w:numId="3">
    <w:abstractNumId w:val="0"/>
  </w:num>
  <w:num w:numId="4">
    <w:abstractNumId w:val="6"/>
  </w:num>
  <w:num w:numId="5">
    <w:abstractNumId w:val="2"/>
  </w:num>
  <w:num w:numId="6">
    <w:abstractNumId w:val="5"/>
  </w:num>
  <w:num w:numId="7">
    <w:abstractNumId w:val="7"/>
  </w:num>
  <w:num w:numId="8">
    <w:abstractNumId w:val="3"/>
  </w:num>
  <w:num w:numId="9">
    <w:abstractNumId w:val="3"/>
    <w:lvlOverride w:ilvl="3">
      <w:lvl w:ilvl="3">
        <w:numFmt w:val="bullet"/>
        <w:lvlText w:val=""/>
        <w:lvlJc w:val="left"/>
        <w:pPr>
          <w:tabs>
            <w:tab w:val="num" w:pos="2880"/>
          </w:tabs>
          <w:ind w:left="2880" w:hanging="360"/>
        </w:pPr>
        <w:rPr>
          <w:rFonts w:ascii="Symbol" w:hAnsi="Symbol" w:hint="default"/>
          <w:sz w:val="20"/>
        </w:rPr>
      </w:lvl>
    </w:lvlOverride>
  </w:num>
  <w:num w:numId="10">
    <w:abstractNumId w:val="3"/>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1">
    <w:abstractNumId w:val="1"/>
  </w:num>
  <w:num w:numId="12">
    <w:abstractNumId w:val="1"/>
    <w:lvlOverride w:ilvl="3">
      <w:lvl w:ilvl="3">
        <w:numFmt w:val="bullet"/>
        <w:lvlText w:val=""/>
        <w:lvlJc w:val="left"/>
        <w:pPr>
          <w:tabs>
            <w:tab w:val="num" w:pos="2880"/>
          </w:tabs>
          <w:ind w:left="2880" w:hanging="360"/>
        </w:pPr>
        <w:rPr>
          <w:rFonts w:ascii="Symbol" w:hAnsi="Symbol" w:hint="default"/>
          <w:sz w:val="20"/>
        </w:rPr>
      </w:lvl>
    </w:lvlOverride>
  </w:num>
  <w:num w:numId="13">
    <w:abstractNumId w:val="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8A6644A-918D-4F11-89DA-5B231EB29322}"/>
    <w:docVar w:name="dgnword-eventsink" w:val="1643456563168"/>
  </w:docVars>
  <w:rsids>
    <w:rsidRoot w:val="009C4B9B"/>
    <w:rsid w:val="00067238"/>
    <w:rsid w:val="00093EBE"/>
    <w:rsid w:val="00160CAA"/>
    <w:rsid w:val="001D563A"/>
    <w:rsid w:val="003937C0"/>
    <w:rsid w:val="003D5986"/>
    <w:rsid w:val="003F6DA9"/>
    <w:rsid w:val="00400482"/>
    <w:rsid w:val="00421F9D"/>
    <w:rsid w:val="00486E4F"/>
    <w:rsid w:val="004D032A"/>
    <w:rsid w:val="004F05FE"/>
    <w:rsid w:val="005049A9"/>
    <w:rsid w:val="00547BA2"/>
    <w:rsid w:val="005C4EDB"/>
    <w:rsid w:val="00673CCD"/>
    <w:rsid w:val="00681850"/>
    <w:rsid w:val="006C494E"/>
    <w:rsid w:val="00752A48"/>
    <w:rsid w:val="00754C66"/>
    <w:rsid w:val="007A4B3A"/>
    <w:rsid w:val="007D4243"/>
    <w:rsid w:val="00860990"/>
    <w:rsid w:val="009525F3"/>
    <w:rsid w:val="00964F3A"/>
    <w:rsid w:val="009C4B9B"/>
    <w:rsid w:val="00A317F7"/>
    <w:rsid w:val="00AA18B0"/>
    <w:rsid w:val="00B52E33"/>
    <w:rsid w:val="00BC4DB7"/>
    <w:rsid w:val="00BE11F0"/>
    <w:rsid w:val="00BF7D4F"/>
    <w:rsid w:val="00CB2A0F"/>
    <w:rsid w:val="00D76C48"/>
    <w:rsid w:val="00DB61F5"/>
    <w:rsid w:val="00F244EA"/>
    <w:rsid w:val="00F44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1C44"/>
  <w15:chartTrackingRefBased/>
  <w15:docId w15:val="{46B99A96-AC5F-4CF3-8EA3-AC32D6B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F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B9B"/>
    <w:pPr>
      <w:spacing w:before="100" w:beforeAutospacing="1" w:after="100" w:afterAutospacing="1"/>
    </w:pPr>
    <w:rPr>
      <w:lang w:eastAsia="en-CA"/>
    </w:rPr>
  </w:style>
  <w:style w:type="character" w:styleId="Hyperlink">
    <w:name w:val="Hyperlink"/>
    <w:basedOn w:val="DefaultParagraphFont"/>
    <w:uiPriority w:val="99"/>
    <w:unhideWhenUsed/>
    <w:rsid w:val="009C4B9B"/>
    <w:rPr>
      <w:color w:val="0000FF"/>
      <w:u w:val="single"/>
    </w:rPr>
  </w:style>
  <w:style w:type="paragraph" w:styleId="BalloonText">
    <w:name w:val="Balloon Text"/>
    <w:basedOn w:val="Normal"/>
    <w:link w:val="BalloonTextChar"/>
    <w:uiPriority w:val="99"/>
    <w:semiHidden/>
    <w:unhideWhenUsed/>
    <w:rsid w:val="00400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2"/>
    <w:rPr>
      <w:rFonts w:ascii="Segoe UI" w:hAnsi="Segoe UI" w:cs="Segoe UI"/>
      <w:sz w:val="18"/>
      <w:szCs w:val="18"/>
    </w:rPr>
  </w:style>
  <w:style w:type="character" w:styleId="UnresolvedMention">
    <w:name w:val="Unresolved Mention"/>
    <w:basedOn w:val="DefaultParagraphFont"/>
    <w:uiPriority w:val="99"/>
    <w:semiHidden/>
    <w:unhideWhenUsed/>
    <w:rsid w:val="007A4B3A"/>
    <w:rPr>
      <w:color w:val="605E5C"/>
      <w:shd w:val="clear" w:color="auto" w:fill="E1DFDD"/>
    </w:rPr>
  </w:style>
  <w:style w:type="paragraph" w:styleId="ListParagraph">
    <w:name w:val="List Paragraph"/>
    <w:basedOn w:val="Normal"/>
    <w:uiPriority w:val="34"/>
    <w:qFormat/>
    <w:rsid w:val="00486E4F"/>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547BA2"/>
    <w:rPr>
      <w:sz w:val="16"/>
      <w:szCs w:val="16"/>
    </w:rPr>
  </w:style>
  <w:style w:type="paragraph" w:styleId="CommentText">
    <w:name w:val="annotation text"/>
    <w:basedOn w:val="Normal"/>
    <w:link w:val="CommentTextChar"/>
    <w:uiPriority w:val="99"/>
    <w:semiHidden/>
    <w:unhideWhenUsed/>
    <w:rsid w:val="00547BA2"/>
    <w:rPr>
      <w:sz w:val="20"/>
      <w:szCs w:val="20"/>
    </w:rPr>
  </w:style>
  <w:style w:type="character" w:customStyle="1" w:styleId="CommentTextChar">
    <w:name w:val="Comment Text Char"/>
    <w:basedOn w:val="DefaultParagraphFont"/>
    <w:link w:val="CommentText"/>
    <w:uiPriority w:val="99"/>
    <w:semiHidden/>
    <w:rsid w:val="00547BA2"/>
    <w:rPr>
      <w:sz w:val="20"/>
      <w:szCs w:val="20"/>
    </w:rPr>
  </w:style>
  <w:style w:type="paragraph" w:styleId="CommentSubject">
    <w:name w:val="annotation subject"/>
    <w:basedOn w:val="CommentText"/>
    <w:next w:val="CommentText"/>
    <w:link w:val="CommentSubjectChar"/>
    <w:uiPriority w:val="99"/>
    <w:semiHidden/>
    <w:unhideWhenUsed/>
    <w:rsid w:val="00547BA2"/>
    <w:rPr>
      <w:b/>
      <w:bCs/>
    </w:rPr>
  </w:style>
  <w:style w:type="character" w:customStyle="1" w:styleId="CommentSubjectChar">
    <w:name w:val="Comment Subject Char"/>
    <w:basedOn w:val="CommentTextChar"/>
    <w:link w:val="CommentSubject"/>
    <w:uiPriority w:val="99"/>
    <w:semiHidden/>
    <w:rsid w:val="00547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8174">
      <w:bodyDiv w:val="1"/>
      <w:marLeft w:val="0"/>
      <w:marRight w:val="0"/>
      <w:marTop w:val="0"/>
      <w:marBottom w:val="0"/>
      <w:divBdr>
        <w:top w:val="none" w:sz="0" w:space="0" w:color="auto"/>
        <w:left w:val="none" w:sz="0" w:space="0" w:color="auto"/>
        <w:bottom w:val="none" w:sz="0" w:space="0" w:color="auto"/>
        <w:right w:val="none" w:sz="0" w:space="0" w:color="auto"/>
      </w:divBdr>
    </w:div>
    <w:div w:id="1230264833">
      <w:bodyDiv w:val="1"/>
      <w:marLeft w:val="0"/>
      <w:marRight w:val="0"/>
      <w:marTop w:val="0"/>
      <w:marBottom w:val="0"/>
      <w:divBdr>
        <w:top w:val="none" w:sz="0" w:space="0" w:color="auto"/>
        <w:left w:val="none" w:sz="0" w:space="0" w:color="auto"/>
        <w:bottom w:val="none" w:sz="0" w:space="0" w:color="auto"/>
        <w:right w:val="none" w:sz="0" w:space="0" w:color="auto"/>
      </w:divBdr>
    </w:div>
    <w:div w:id="19072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9DAE-76E5-4428-9755-31A54FC1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Hyatt</dc:creator>
  <cp:keywords/>
  <dc:description/>
  <cp:lastModifiedBy>Tracy Odell</cp:lastModifiedBy>
  <cp:revision>2</cp:revision>
  <dcterms:created xsi:type="dcterms:W3CDTF">2020-03-03T20:08:00Z</dcterms:created>
  <dcterms:modified xsi:type="dcterms:W3CDTF">2020-03-03T20:08:00Z</dcterms:modified>
</cp:coreProperties>
</file>